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p>
    <w:p>
      <w:pPr>
        <w:spacing w:after="0"/>
        <w:rPr>
          <w:rFonts w:ascii="Times New Roman"/>
          <w:sz w:val="17"/>
        </w:rPr>
        <w:sectPr>
          <w:type w:val="continuous"/>
          <w:pgSz w:w="15840" w:h="12240" w:orient="landscape"/>
          <w:pgMar w:top="1140" w:bottom="280" w:left="1320" w:right="1320"/>
        </w:sectPr>
      </w:pPr>
    </w:p>
    <w:p>
      <w:pPr>
        <w:spacing w:before="95"/>
        <w:ind w:left="119" w:right="23" w:firstLine="0"/>
        <w:jc w:val="left"/>
        <w:rPr>
          <w:b/>
          <w:sz w:val="18"/>
        </w:rPr>
      </w:pPr>
      <w:r>
        <w:rPr>
          <w:b/>
          <w:sz w:val="18"/>
        </w:rPr>
        <w:t>Name of Submitter: Date Submitted: Date Approved:</w:t>
      </w:r>
    </w:p>
    <w:p>
      <w:pPr>
        <w:pStyle w:val="BodyText"/>
        <w:rPr>
          <w:b/>
          <w:sz w:val="20"/>
        </w:rPr>
      </w:pPr>
      <w:r>
        <w:rPr/>
        <w:br w:type="column"/>
      </w:r>
      <w:r>
        <w:rPr>
          <w:b/>
          <w:sz w:val="20"/>
        </w:rPr>
      </w:r>
    </w:p>
    <w:p>
      <w:pPr>
        <w:pStyle w:val="BodyText"/>
        <w:rPr>
          <w:b/>
          <w:sz w:val="20"/>
        </w:rPr>
      </w:pPr>
    </w:p>
    <w:p>
      <w:pPr>
        <w:pStyle w:val="BodyText"/>
        <w:spacing w:before="3"/>
        <w:rPr>
          <w:b/>
        </w:rPr>
      </w:pPr>
    </w:p>
    <w:p>
      <w:pPr>
        <w:spacing w:line="207" w:lineRule="exact" w:before="0"/>
        <w:ind w:left="101" w:right="3389" w:firstLine="0"/>
        <w:jc w:val="center"/>
        <w:rPr>
          <w:b/>
          <w:sz w:val="18"/>
        </w:rPr>
      </w:pPr>
      <w:r>
        <w:rPr>
          <w:b/>
          <w:sz w:val="18"/>
        </w:rPr>
        <w:t>Unit:</w:t>
      </w:r>
    </w:p>
    <w:p>
      <w:pPr>
        <w:spacing w:line="206" w:lineRule="exact" w:before="0"/>
        <w:ind w:left="102" w:right="3386" w:firstLine="0"/>
        <w:jc w:val="center"/>
        <w:rPr>
          <w:b/>
          <w:sz w:val="18"/>
        </w:rPr>
      </w:pPr>
      <w:r>
        <w:rPr>
          <w:b/>
          <w:sz w:val="18"/>
        </w:rPr>
        <w:t>Subunit:</w:t>
      </w:r>
    </w:p>
    <w:p>
      <w:pPr>
        <w:spacing w:line="207" w:lineRule="exact" w:before="0"/>
        <w:ind w:left="102" w:right="3389" w:firstLine="0"/>
        <w:jc w:val="center"/>
        <w:rPr>
          <w:b/>
          <w:sz w:val="18"/>
        </w:rPr>
      </w:pPr>
      <w:r>
        <w:rPr>
          <w:b/>
          <w:sz w:val="18"/>
        </w:rPr>
        <w:t>Expected Outcomes Map to NOVA’s Mission and Strategic Plan Objectives</w:t>
      </w:r>
    </w:p>
    <w:p>
      <w:pPr>
        <w:spacing w:after="0" w:line="207" w:lineRule="exact"/>
        <w:jc w:val="center"/>
        <w:rPr>
          <w:sz w:val="18"/>
        </w:rPr>
        <w:sectPr>
          <w:type w:val="continuous"/>
          <w:pgSz w:w="15840" w:h="12240" w:orient="landscape"/>
          <w:pgMar w:top="1140" w:bottom="280" w:left="1320" w:right="1320"/>
          <w:cols w:num="2" w:equalWidth="0">
            <w:col w:w="1823" w:space="1464"/>
            <w:col w:w="9913"/>
          </w:cols>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51"/>
        <w:gridCol w:w="1498"/>
        <w:gridCol w:w="1124"/>
        <w:gridCol w:w="848"/>
        <w:gridCol w:w="598"/>
        <w:gridCol w:w="972"/>
        <w:gridCol w:w="955"/>
        <w:gridCol w:w="1229"/>
        <w:gridCol w:w="987"/>
        <w:gridCol w:w="872"/>
        <w:gridCol w:w="908"/>
        <w:gridCol w:w="973"/>
      </w:tblGrid>
      <w:tr>
        <w:trPr>
          <w:trHeight w:val="244" w:hRule="atLeast"/>
        </w:trPr>
        <w:tc>
          <w:tcPr>
            <w:tcW w:w="742" w:type="dxa"/>
            <w:vMerge w:val="restart"/>
            <w:shd w:val="clear" w:color="auto" w:fill="D9D9D9"/>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9"/>
              <w:ind w:left="110"/>
              <w:rPr>
                <w:b/>
                <w:sz w:val="14"/>
              </w:rPr>
            </w:pPr>
            <w:r>
              <w:rPr>
                <w:b/>
                <w:sz w:val="14"/>
              </w:rPr>
              <w:t>Subunit</w:t>
            </w:r>
          </w:p>
        </w:tc>
        <w:tc>
          <w:tcPr>
            <w:tcW w:w="1251" w:type="dxa"/>
            <w:vMerge w:val="restart"/>
            <w:shd w:val="clear" w:color="auto" w:fill="D9D9D9"/>
          </w:tcPr>
          <w:p>
            <w:pPr>
              <w:pStyle w:val="TableParagraph"/>
              <w:rPr>
                <w:b/>
                <w:sz w:val="16"/>
              </w:rPr>
            </w:pPr>
          </w:p>
          <w:p>
            <w:pPr>
              <w:pStyle w:val="TableParagraph"/>
              <w:rPr>
                <w:b/>
                <w:sz w:val="16"/>
              </w:rPr>
            </w:pPr>
          </w:p>
          <w:p>
            <w:pPr>
              <w:pStyle w:val="TableParagraph"/>
              <w:spacing w:before="8"/>
              <w:rPr>
                <w:b/>
                <w:sz w:val="12"/>
              </w:rPr>
            </w:pPr>
          </w:p>
          <w:p>
            <w:pPr>
              <w:pStyle w:val="TableParagraph"/>
              <w:ind w:left="133" w:right="127" w:firstLine="2"/>
              <w:jc w:val="center"/>
              <w:rPr>
                <w:b/>
                <w:sz w:val="14"/>
              </w:rPr>
            </w:pPr>
            <w:r>
              <w:rPr>
                <w:b/>
                <w:sz w:val="14"/>
              </w:rPr>
              <w:t>Expected Outcome (Include Learning-L or Operational-O)</w:t>
            </w:r>
          </w:p>
        </w:tc>
        <w:tc>
          <w:tcPr>
            <w:tcW w:w="1498" w:type="dxa"/>
            <w:vMerge w:val="restart"/>
            <w:shd w:val="clear" w:color="auto" w:fill="D9D9D9"/>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9"/>
              <w:ind w:left="464"/>
              <w:rPr>
                <w:b/>
                <w:sz w:val="14"/>
              </w:rPr>
            </w:pPr>
            <w:r>
              <w:rPr>
                <w:b/>
                <w:sz w:val="14"/>
              </w:rPr>
              <w:t>Measure</w:t>
            </w:r>
          </w:p>
        </w:tc>
        <w:tc>
          <w:tcPr>
            <w:tcW w:w="1124" w:type="dxa"/>
            <w:vMerge w:val="restart"/>
            <w:shd w:val="clear" w:color="auto" w:fill="D9D9D9"/>
          </w:tcPr>
          <w:p>
            <w:pPr>
              <w:pStyle w:val="TableParagraph"/>
              <w:rPr>
                <w:b/>
                <w:sz w:val="16"/>
              </w:rPr>
            </w:pPr>
          </w:p>
          <w:p>
            <w:pPr>
              <w:pStyle w:val="TableParagraph"/>
              <w:spacing w:before="7"/>
              <w:rPr>
                <w:b/>
                <w:sz w:val="21"/>
              </w:rPr>
            </w:pPr>
          </w:p>
          <w:p>
            <w:pPr>
              <w:pStyle w:val="TableParagraph"/>
              <w:ind w:left="108" w:right="102" w:hanging="1"/>
              <w:jc w:val="center"/>
              <w:rPr>
                <w:b/>
                <w:sz w:val="14"/>
              </w:rPr>
            </w:pPr>
            <w:r>
              <w:rPr>
                <w:b/>
                <w:sz w:val="14"/>
              </w:rPr>
              <w:t>Target, Acceptable Threshold, and   Justification for Threshold</w:t>
            </w:r>
          </w:p>
        </w:tc>
        <w:tc>
          <w:tcPr>
            <w:tcW w:w="8342" w:type="dxa"/>
            <w:gridSpan w:val="9"/>
            <w:shd w:val="clear" w:color="auto" w:fill="C5DFB3"/>
          </w:tcPr>
          <w:p>
            <w:pPr>
              <w:pStyle w:val="TableParagraph"/>
              <w:spacing w:before="39"/>
              <w:ind w:left="3025" w:right="3025"/>
              <w:jc w:val="center"/>
              <w:rPr>
                <w:b/>
                <w:sz w:val="14"/>
              </w:rPr>
            </w:pPr>
            <w:r>
              <w:rPr>
                <w:b/>
                <w:sz w:val="14"/>
              </w:rPr>
              <w:t>NOVA’s Mission</w:t>
            </w:r>
          </w:p>
        </w:tc>
      </w:tr>
      <w:tr>
        <w:trPr>
          <w:trHeight w:val="241" w:hRule="atLeast"/>
        </w:trPr>
        <w:tc>
          <w:tcPr>
            <w:tcW w:w="742" w:type="dxa"/>
            <w:vMerge/>
            <w:tcBorders>
              <w:top w:val="nil"/>
            </w:tcBorders>
            <w:shd w:val="clear" w:color="auto" w:fill="D9D9D9"/>
          </w:tcPr>
          <w:p>
            <w:pPr>
              <w:rPr>
                <w:sz w:val="2"/>
                <w:szCs w:val="2"/>
              </w:rPr>
            </w:pPr>
          </w:p>
        </w:tc>
        <w:tc>
          <w:tcPr>
            <w:tcW w:w="1251" w:type="dxa"/>
            <w:vMerge/>
            <w:tcBorders>
              <w:top w:val="nil"/>
            </w:tcBorders>
            <w:shd w:val="clear" w:color="auto" w:fill="D9D9D9"/>
          </w:tcPr>
          <w:p>
            <w:pPr>
              <w:rPr>
                <w:sz w:val="2"/>
                <w:szCs w:val="2"/>
              </w:rPr>
            </w:pPr>
          </w:p>
        </w:tc>
        <w:tc>
          <w:tcPr>
            <w:tcW w:w="1498" w:type="dxa"/>
            <w:vMerge/>
            <w:tcBorders>
              <w:top w:val="nil"/>
            </w:tcBorders>
            <w:shd w:val="clear" w:color="auto" w:fill="D9D9D9"/>
          </w:tcPr>
          <w:p>
            <w:pPr>
              <w:rPr>
                <w:sz w:val="2"/>
                <w:szCs w:val="2"/>
              </w:rPr>
            </w:pPr>
          </w:p>
        </w:tc>
        <w:tc>
          <w:tcPr>
            <w:tcW w:w="1124" w:type="dxa"/>
            <w:vMerge/>
            <w:tcBorders>
              <w:top w:val="nil"/>
            </w:tcBorders>
            <w:shd w:val="clear" w:color="auto" w:fill="D9D9D9"/>
          </w:tcPr>
          <w:p>
            <w:pPr>
              <w:rPr>
                <w:sz w:val="2"/>
                <w:szCs w:val="2"/>
              </w:rPr>
            </w:pPr>
          </w:p>
        </w:tc>
        <w:tc>
          <w:tcPr>
            <w:tcW w:w="2418" w:type="dxa"/>
            <w:gridSpan w:val="3"/>
            <w:shd w:val="clear" w:color="auto" w:fill="C5DFB3"/>
          </w:tcPr>
          <w:p>
            <w:pPr>
              <w:pStyle w:val="TableParagraph"/>
              <w:spacing w:before="36"/>
              <w:ind w:left="513"/>
              <w:rPr>
                <w:b/>
                <w:sz w:val="14"/>
              </w:rPr>
            </w:pPr>
            <w:r>
              <w:rPr>
                <w:b/>
                <w:color w:val="00AF50"/>
                <w:sz w:val="14"/>
              </w:rPr>
              <w:t>Access and Success</w:t>
            </w:r>
          </w:p>
        </w:tc>
        <w:tc>
          <w:tcPr>
            <w:tcW w:w="2184" w:type="dxa"/>
            <w:gridSpan w:val="2"/>
            <w:shd w:val="clear" w:color="auto" w:fill="C5DFB3"/>
          </w:tcPr>
          <w:p>
            <w:pPr>
              <w:pStyle w:val="TableParagraph"/>
              <w:spacing w:before="36"/>
              <w:ind w:left="219"/>
              <w:rPr>
                <w:b/>
                <w:sz w:val="14"/>
              </w:rPr>
            </w:pPr>
            <w:r>
              <w:rPr>
                <w:b/>
                <w:color w:val="C45811"/>
                <w:sz w:val="14"/>
              </w:rPr>
              <w:t>Institutional Effectiveness</w:t>
            </w:r>
          </w:p>
        </w:tc>
        <w:tc>
          <w:tcPr>
            <w:tcW w:w="3740" w:type="dxa"/>
            <w:gridSpan w:val="4"/>
            <w:shd w:val="clear" w:color="auto" w:fill="C5DFB3"/>
          </w:tcPr>
          <w:p>
            <w:pPr>
              <w:pStyle w:val="TableParagraph"/>
              <w:spacing w:before="36"/>
              <w:ind w:left="437"/>
              <w:rPr>
                <w:b/>
                <w:sz w:val="14"/>
              </w:rPr>
            </w:pPr>
            <w:r>
              <w:rPr>
                <w:b/>
                <w:color w:val="006FC0"/>
                <w:sz w:val="14"/>
              </w:rPr>
              <w:t>Competitive Workforce/Career Opportunity</w:t>
            </w:r>
          </w:p>
        </w:tc>
      </w:tr>
      <w:tr>
        <w:trPr>
          <w:trHeight w:val="244" w:hRule="atLeast"/>
        </w:trPr>
        <w:tc>
          <w:tcPr>
            <w:tcW w:w="742" w:type="dxa"/>
            <w:vMerge/>
            <w:tcBorders>
              <w:top w:val="nil"/>
            </w:tcBorders>
            <w:shd w:val="clear" w:color="auto" w:fill="D9D9D9"/>
          </w:tcPr>
          <w:p>
            <w:pPr>
              <w:rPr>
                <w:sz w:val="2"/>
                <w:szCs w:val="2"/>
              </w:rPr>
            </w:pPr>
          </w:p>
        </w:tc>
        <w:tc>
          <w:tcPr>
            <w:tcW w:w="1251" w:type="dxa"/>
            <w:vMerge/>
            <w:tcBorders>
              <w:top w:val="nil"/>
            </w:tcBorders>
            <w:shd w:val="clear" w:color="auto" w:fill="D9D9D9"/>
          </w:tcPr>
          <w:p>
            <w:pPr>
              <w:rPr>
                <w:sz w:val="2"/>
                <w:szCs w:val="2"/>
              </w:rPr>
            </w:pPr>
          </w:p>
        </w:tc>
        <w:tc>
          <w:tcPr>
            <w:tcW w:w="1498" w:type="dxa"/>
            <w:vMerge/>
            <w:tcBorders>
              <w:top w:val="nil"/>
            </w:tcBorders>
            <w:shd w:val="clear" w:color="auto" w:fill="D9D9D9"/>
          </w:tcPr>
          <w:p>
            <w:pPr>
              <w:rPr>
                <w:sz w:val="2"/>
                <w:szCs w:val="2"/>
              </w:rPr>
            </w:pPr>
          </w:p>
        </w:tc>
        <w:tc>
          <w:tcPr>
            <w:tcW w:w="1124" w:type="dxa"/>
            <w:vMerge/>
            <w:tcBorders>
              <w:top w:val="nil"/>
            </w:tcBorders>
            <w:shd w:val="clear" w:color="auto" w:fill="D9D9D9"/>
          </w:tcPr>
          <w:p>
            <w:pPr>
              <w:rPr>
                <w:sz w:val="2"/>
                <w:szCs w:val="2"/>
              </w:rPr>
            </w:pPr>
          </w:p>
        </w:tc>
        <w:tc>
          <w:tcPr>
            <w:tcW w:w="8342" w:type="dxa"/>
            <w:gridSpan w:val="9"/>
            <w:shd w:val="clear" w:color="auto" w:fill="FFF1CC"/>
          </w:tcPr>
          <w:p>
            <w:pPr>
              <w:pStyle w:val="TableParagraph"/>
              <w:spacing w:before="39"/>
              <w:ind w:left="3025" w:right="3025"/>
              <w:jc w:val="center"/>
              <w:rPr>
                <w:b/>
                <w:sz w:val="14"/>
              </w:rPr>
            </w:pPr>
            <w:r>
              <w:rPr>
                <w:b/>
                <w:sz w:val="14"/>
              </w:rPr>
              <w:t>NOVA’s Strategic Plan Objectives</w:t>
            </w:r>
          </w:p>
        </w:tc>
      </w:tr>
      <w:tr>
        <w:trPr>
          <w:trHeight w:val="263" w:hRule="atLeast"/>
        </w:trPr>
        <w:tc>
          <w:tcPr>
            <w:tcW w:w="742" w:type="dxa"/>
            <w:vMerge/>
            <w:tcBorders>
              <w:top w:val="nil"/>
            </w:tcBorders>
            <w:shd w:val="clear" w:color="auto" w:fill="D9D9D9"/>
          </w:tcPr>
          <w:p>
            <w:pPr>
              <w:rPr>
                <w:sz w:val="2"/>
                <w:szCs w:val="2"/>
              </w:rPr>
            </w:pPr>
          </w:p>
        </w:tc>
        <w:tc>
          <w:tcPr>
            <w:tcW w:w="1251" w:type="dxa"/>
            <w:vMerge/>
            <w:tcBorders>
              <w:top w:val="nil"/>
            </w:tcBorders>
            <w:shd w:val="clear" w:color="auto" w:fill="D9D9D9"/>
          </w:tcPr>
          <w:p>
            <w:pPr>
              <w:rPr>
                <w:sz w:val="2"/>
                <w:szCs w:val="2"/>
              </w:rPr>
            </w:pPr>
          </w:p>
        </w:tc>
        <w:tc>
          <w:tcPr>
            <w:tcW w:w="1498" w:type="dxa"/>
            <w:vMerge/>
            <w:tcBorders>
              <w:top w:val="nil"/>
            </w:tcBorders>
            <w:shd w:val="clear" w:color="auto" w:fill="D9D9D9"/>
          </w:tcPr>
          <w:p>
            <w:pPr>
              <w:rPr>
                <w:sz w:val="2"/>
                <w:szCs w:val="2"/>
              </w:rPr>
            </w:pPr>
          </w:p>
        </w:tc>
        <w:tc>
          <w:tcPr>
            <w:tcW w:w="1124" w:type="dxa"/>
            <w:vMerge/>
            <w:tcBorders>
              <w:top w:val="nil"/>
            </w:tcBorders>
            <w:shd w:val="clear" w:color="auto" w:fill="D9D9D9"/>
          </w:tcPr>
          <w:p>
            <w:pPr>
              <w:rPr>
                <w:sz w:val="2"/>
                <w:szCs w:val="2"/>
              </w:rPr>
            </w:pPr>
          </w:p>
        </w:tc>
        <w:tc>
          <w:tcPr>
            <w:tcW w:w="848" w:type="dxa"/>
            <w:shd w:val="clear" w:color="auto" w:fill="FFF1CC"/>
          </w:tcPr>
          <w:p>
            <w:pPr>
              <w:pStyle w:val="TableParagraph"/>
              <w:spacing w:before="46"/>
              <w:ind w:left="2"/>
              <w:jc w:val="center"/>
              <w:rPr>
                <w:b/>
                <w:sz w:val="14"/>
              </w:rPr>
            </w:pPr>
            <w:r>
              <w:rPr>
                <w:b/>
                <w:w w:val="99"/>
                <w:sz w:val="14"/>
              </w:rPr>
              <w:t>1</w:t>
            </w:r>
          </w:p>
        </w:tc>
        <w:tc>
          <w:tcPr>
            <w:tcW w:w="598" w:type="dxa"/>
            <w:shd w:val="clear" w:color="auto" w:fill="FFF1CC"/>
          </w:tcPr>
          <w:p>
            <w:pPr>
              <w:pStyle w:val="TableParagraph"/>
              <w:spacing w:before="46"/>
              <w:ind w:left="1"/>
              <w:jc w:val="center"/>
              <w:rPr>
                <w:b/>
                <w:sz w:val="14"/>
              </w:rPr>
            </w:pPr>
            <w:r>
              <w:rPr>
                <w:b/>
                <w:w w:val="99"/>
                <w:sz w:val="14"/>
              </w:rPr>
              <w:t>2</w:t>
            </w:r>
          </w:p>
        </w:tc>
        <w:tc>
          <w:tcPr>
            <w:tcW w:w="972" w:type="dxa"/>
            <w:shd w:val="clear" w:color="auto" w:fill="FFF1CC"/>
          </w:tcPr>
          <w:p>
            <w:pPr>
              <w:pStyle w:val="TableParagraph"/>
              <w:spacing w:before="46"/>
              <w:ind w:left="1"/>
              <w:jc w:val="center"/>
              <w:rPr>
                <w:b/>
                <w:sz w:val="14"/>
              </w:rPr>
            </w:pPr>
            <w:r>
              <w:rPr>
                <w:b/>
                <w:w w:val="99"/>
                <w:sz w:val="14"/>
              </w:rPr>
              <w:t>3</w:t>
            </w:r>
          </w:p>
        </w:tc>
        <w:tc>
          <w:tcPr>
            <w:tcW w:w="955" w:type="dxa"/>
            <w:shd w:val="clear" w:color="auto" w:fill="FFF1CC"/>
          </w:tcPr>
          <w:p>
            <w:pPr>
              <w:pStyle w:val="TableParagraph"/>
              <w:spacing w:before="46"/>
              <w:ind w:left="3"/>
              <w:jc w:val="center"/>
              <w:rPr>
                <w:b/>
                <w:sz w:val="14"/>
              </w:rPr>
            </w:pPr>
            <w:r>
              <w:rPr>
                <w:b/>
                <w:w w:val="99"/>
                <w:sz w:val="14"/>
              </w:rPr>
              <w:t>4</w:t>
            </w:r>
          </w:p>
        </w:tc>
        <w:tc>
          <w:tcPr>
            <w:tcW w:w="1229" w:type="dxa"/>
            <w:shd w:val="clear" w:color="auto" w:fill="FFF1CC"/>
          </w:tcPr>
          <w:p>
            <w:pPr>
              <w:pStyle w:val="TableParagraph"/>
              <w:spacing w:before="46"/>
              <w:ind w:left="3"/>
              <w:jc w:val="center"/>
              <w:rPr>
                <w:b/>
                <w:sz w:val="14"/>
              </w:rPr>
            </w:pPr>
            <w:r>
              <w:rPr>
                <w:b/>
                <w:w w:val="99"/>
                <w:sz w:val="14"/>
              </w:rPr>
              <w:t>5</w:t>
            </w:r>
          </w:p>
        </w:tc>
        <w:tc>
          <w:tcPr>
            <w:tcW w:w="987" w:type="dxa"/>
            <w:shd w:val="clear" w:color="auto" w:fill="FFF1CC"/>
          </w:tcPr>
          <w:p>
            <w:pPr>
              <w:pStyle w:val="TableParagraph"/>
              <w:spacing w:before="46"/>
              <w:jc w:val="center"/>
              <w:rPr>
                <w:b/>
                <w:sz w:val="14"/>
              </w:rPr>
            </w:pPr>
            <w:r>
              <w:rPr>
                <w:b/>
                <w:w w:val="99"/>
                <w:sz w:val="14"/>
              </w:rPr>
              <w:t>6</w:t>
            </w:r>
          </w:p>
        </w:tc>
        <w:tc>
          <w:tcPr>
            <w:tcW w:w="872" w:type="dxa"/>
            <w:shd w:val="clear" w:color="auto" w:fill="FFF1CC"/>
          </w:tcPr>
          <w:p>
            <w:pPr>
              <w:pStyle w:val="TableParagraph"/>
              <w:spacing w:before="46"/>
              <w:jc w:val="center"/>
              <w:rPr>
                <w:b/>
                <w:sz w:val="14"/>
              </w:rPr>
            </w:pPr>
            <w:r>
              <w:rPr>
                <w:b/>
                <w:w w:val="99"/>
                <w:sz w:val="14"/>
              </w:rPr>
              <w:t>7</w:t>
            </w:r>
          </w:p>
        </w:tc>
        <w:tc>
          <w:tcPr>
            <w:tcW w:w="908" w:type="dxa"/>
            <w:shd w:val="clear" w:color="auto" w:fill="FFF1CC"/>
          </w:tcPr>
          <w:p>
            <w:pPr>
              <w:pStyle w:val="TableParagraph"/>
              <w:spacing w:before="46"/>
              <w:jc w:val="center"/>
              <w:rPr>
                <w:b/>
                <w:sz w:val="14"/>
              </w:rPr>
            </w:pPr>
            <w:r>
              <w:rPr>
                <w:b/>
                <w:w w:val="99"/>
                <w:sz w:val="14"/>
              </w:rPr>
              <w:t>8</w:t>
            </w:r>
          </w:p>
        </w:tc>
        <w:tc>
          <w:tcPr>
            <w:tcW w:w="973" w:type="dxa"/>
            <w:shd w:val="clear" w:color="auto" w:fill="FFF1CC"/>
          </w:tcPr>
          <w:p>
            <w:pPr>
              <w:pStyle w:val="TableParagraph"/>
              <w:spacing w:before="46"/>
              <w:ind w:right="2"/>
              <w:jc w:val="center"/>
              <w:rPr>
                <w:b/>
                <w:sz w:val="14"/>
              </w:rPr>
            </w:pPr>
            <w:r>
              <w:rPr>
                <w:b/>
                <w:w w:val="99"/>
                <w:sz w:val="14"/>
              </w:rPr>
              <w:t>9</w:t>
            </w:r>
          </w:p>
        </w:tc>
      </w:tr>
      <w:tr>
        <w:trPr>
          <w:trHeight w:val="803" w:hRule="atLeast"/>
        </w:trPr>
        <w:tc>
          <w:tcPr>
            <w:tcW w:w="742" w:type="dxa"/>
            <w:vMerge/>
            <w:tcBorders>
              <w:top w:val="nil"/>
            </w:tcBorders>
            <w:shd w:val="clear" w:color="auto" w:fill="D9D9D9"/>
          </w:tcPr>
          <w:p>
            <w:pPr>
              <w:rPr>
                <w:sz w:val="2"/>
                <w:szCs w:val="2"/>
              </w:rPr>
            </w:pPr>
          </w:p>
        </w:tc>
        <w:tc>
          <w:tcPr>
            <w:tcW w:w="1251" w:type="dxa"/>
            <w:vMerge/>
            <w:tcBorders>
              <w:top w:val="nil"/>
            </w:tcBorders>
            <w:shd w:val="clear" w:color="auto" w:fill="D9D9D9"/>
          </w:tcPr>
          <w:p>
            <w:pPr>
              <w:rPr>
                <w:sz w:val="2"/>
                <w:szCs w:val="2"/>
              </w:rPr>
            </w:pPr>
          </w:p>
        </w:tc>
        <w:tc>
          <w:tcPr>
            <w:tcW w:w="1498" w:type="dxa"/>
            <w:vMerge/>
            <w:tcBorders>
              <w:top w:val="nil"/>
            </w:tcBorders>
            <w:shd w:val="clear" w:color="auto" w:fill="D9D9D9"/>
          </w:tcPr>
          <w:p>
            <w:pPr>
              <w:rPr>
                <w:sz w:val="2"/>
                <w:szCs w:val="2"/>
              </w:rPr>
            </w:pPr>
          </w:p>
        </w:tc>
        <w:tc>
          <w:tcPr>
            <w:tcW w:w="1124" w:type="dxa"/>
            <w:vMerge/>
            <w:tcBorders>
              <w:top w:val="nil"/>
            </w:tcBorders>
            <w:shd w:val="clear" w:color="auto" w:fill="D9D9D9"/>
          </w:tcPr>
          <w:p>
            <w:pPr>
              <w:rPr>
                <w:sz w:val="2"/>
                <w:szCs w:val="2"/>
              </w:rPr>
            </w:pPr>
          </w:p>
        </w:tc>
        <w:tc>
          <w:tcPr>
            <w:tcW w:w="848" w:type="dxa"/>
            <w:shd w:val="clear" w:color="auto" w:fill="FFF1CC"/>
          </w:tcPr>
          <w:p>
            <w:pPr>
              <w:pStyle w:val="TableParagraph"/>
              <w:spacing w:before="7"/>
              <w:rPr>
                <w:b/>
                <w:sz w:val="13"/>
              </w:rPr>
            </w:pPr>
          </w:p>
          <w:p>
            <w:pPr>
              <w:pStyle w:val="TableParagraph"/>
              <w:ind w:left="105" w:right="99" w:hanging="2"/>
              <w:jc w:val="center"/>
              <w:rPr>
                <w:b/>
                <w:sz w:val="14"/>
              </w:rPr>
            </w:pPr>
            <w:r>
              <w:rPr>
                <w:b/>
                <w:sz w:val="14"/>
              </w:rPr>
              <w:t>Student </w:t>
            </w:r>
            <w:r>
              <w:rPr>
                <w:b/>
                <w:w w:val="95"/>
                <w:sz w:val="14"/>
              </w:rPr>
              <w:t>Advising/ </w:t>
            </w:r>
            <w:r>
              <w:rPr>
                <w:b/>
                <w:sz w:val="14"/>
              </w:rPr>
              <w:t>Support</w:t>
            </w:r>
          </w:p>
        </w:tc>
        <w:tc>
          <w:tcPr>
            <w:tcW w:w="598" w:type="dxa"/>
            <w:shd w:val="clear" w:color="auto" w:fill="FFF1CC"/>
          </w:tcPr>
          <w:p>
            <w:pPr>
              <w:pStyle w:val="TableParagraph"/>
              <w:spacing w:before="8"/>
              <w:rPr>
                <w:b/>
                <w:sz w:val="20"/>
              </w:rPr>
            </w:pPr>
          </w:p>
          <w:p>
            <w:pPr>
              <w:pStyle w:val="TableParagraph"/>
              <w:ind w:left="104" w:right="101" w:firstLine="55"/>
              <w:rPr>
                <w:b/>
                <w:sz w:val="14"/>
              </w:rPr>
            </w:pPr>
            <w:r>
              <w:rPr>
                <w:b/>
                <w:sz w:val="14"/>
              </w:rPr>
              <w:t>VIP- </w:t>
            </w:r>
            <w:r>
              <w:rPr>
                <w:b/>
                <w:w w:val="95"/>
                <w:sz w:val="14"/>
              </w:rPr>
              <w:t>PASS</w:t>
            </w:r>
          </w:p>
        </w:tc>
        <w:tc>
          <w:tcPr>
            <w:tcW w:w="972" w:type="dxa"/>
            <w:shd w:val="clear" w:color="auto" w:fill="FFF1CC"/>
          </w:tcPr>
          <w:p>
            <w:pPr>
              <w:pStyle w:val="TableParagraph"/>
              <w:ind w:left="159" w:right="157" w:firstLine="3"/>
              <w:jc w:val="center"/>
              <w:rPr>
                <w:b/>
                <w:sz w:val="14"/>
              </w:rPr>
            </w:pPr>
            <w:r>
              <w:rPr>
                <w:b/>
                <w:sz w:val="14"/>
              </w:rPr>
              <w:t>Informed </w:t>
            </w:r>
            <w:r>
              <w:rPr>
                <w:b/>
                <w:spacing w:val="-1"/>
                <w:sz w:val="14"/>
              </w:rPr>
              <w:t>Pathways </w:t>
            </w:r>
            <w:r>
              <w:rPr>
                <w:b/>
                <w:sz w:val="14"/>
              </w:rPr>
              <w:t>for  </w:t>
            </w:r>
            <w:r>
              <w:rPr>
                <w:b/>
                <w:spacing w:val="-1"/>
                <w:sz w:val="14"/>
              </w:rPr>
              <w:t>Seamless</w:t>
            </w:r>
          </w:p>
          <w:p>
            <w:pPr>
              <w:pStyle w:val="TableParagraph"/>
              <w:spacing w:line="144" w:lineRule="exact"/>
              <w:ind w:left="83" w:right="84"/>
              <w:jc w:val="center"/>
              <w:rPr>
                <w:b/>
                <w:sz w:val="14"/>
              </w:rPr>
            </w:pPr>
            <w:r>
              <w:rPr>
                <w:b/>
                <w:sz w:val="14"/>
              </w:rPr>
              <w:t>Transitions</w:t>
            </w:r>
          </w:p>
        </w:tc>
        <w:tc>
          <w:tcPr>
            <w:tcW w:w="955" w:type="dxa"/>
            <w:shd w:val="clear" w:color="auto" w:fill="FFF1CC"/>
          </w:tcPr>
          <w:p>
            <w:pPr>
              <w:pStyle w:val="TableParagraph"/>
              <w:spacing w:before="7"/>
              <w:rPr>
                <w:b/>
                <w:sz w:val="13"/>
              </w:rPr>
            </w:pPr>
          </w:p>
          <w:p>
            <w:pPr>
              <w:pStyle w:val="TableParagraph"/>
              <w:ind w:left="104" w:right="101" w:firstLine="3"/>
              <w:jc w:val="center"/>
              <w:rPr>
                <w:b/>
                <w:sz w:val="14"/>
              </w:rPr>
            </w:pPr>
            <w:r>
              <w:rPr>
                <w:b/>
                <w:sz w:val="14"/>
              </w:rPr>
              <w:t>Effective Processes/ Protocols</w:t>
            </w:r>
          </w:p>
        </w:tc>
        <w:tc>
          <w:tcPr>
            <w:tcW w:w="1229" w:type="dxa"/>
            <w:shd w:val="clear" w:color="auto" w:fill="FFF1CC"/>
          </w:tcPr>
          <w:p>
            <w:pPr>
              <w:pStyle w:val="TableParagraph"/>
              <w:spacing w:before="77"/>
              <w:ind w:left="128" w:right="122" w:hanging="5"/>
              <w:jc w:val="center"/>
              <w:rPr>
                <w:b/>
                <w:sz w:val="14"/>
              </w:rPr>
            </w:pPr>
            <w:r>
              <w:rPr>
                <w:b/>
                <w:sz w:val="14"/>
              </w:rPr>
              <w:t>Align for </w:t>
            </w:r>
            <w:r>
              <w:rPr>
                <w:b/>
                <w:w w:val="95"/>
                <w:sz w:val="14"/>
              </w:rPr>
              <w:t>Accountability </w:t>
            </w:r>
            <w:r>
              <w:rPr>
                <w:b/>
                <w:sz w:val="14"/>
              </w:rPr>
              <w:t>with College Mission</w:t>
            </w:r>
          </w:p>
        </w:tc>
        <w:tc>
          <w:tcPr>
            <w:tcW w:w="987" w:type="dxa"/>
            <w:shd w:val="clear" w:color="auto" w:fill="FFF1CC"/>
          </w:tcPr>
          <w:p>
            <w:pPr>
              <w:pStyle w:val="TableParagraph"/>
              <w:spacing w:before="77"/>
              <w:ind w:left="104" w:right="99" w:hanging="5"/>
              <w:jc w:val="center"/>
              <w:rPr>
                <w:b/>
                <w:sz w:val="14"/>
              </w:rPr>
            </w:pPr>
            <w:r>
              <w:rPr>
                <w:b/>
                <w:sz w:val="14"/>
              </w:rPr>
              <w:t>Workforce Dev/ </w:t>
            </w:r>
            <w:r>
              <w:rPr>
                <w:b/>
                <w:w w:val="95"/>
                <w:sz w:val="14"/>
              </w:rPr>
              <w:t>Community </w:t>
            </w:r>
            <w:r>
              <w:rPr>
                <w:b/>
                <w:sz w:val="14"/>
              </w:rPr>
              <w:t>Prosperity</w:t>
            </w:r>
          </w:p>
        </w:tc>
        <w:tc>
          <w:tcPr>
            <w:tcW w:w="872" w:type="dxa"/>
            <w:shd w:val="clear" w:color="auto" w:fill="FFF1CC"/>
          </w:tcPr>
          <w:p>
            <w:pPr>
              <w:pStyle w:val="TableParagraph"/>
              <w:spacing w:before="7"/>
              <w:rPr>
                <w:b/>
                <w:sz w:val="13"/>
              </w:rPr>
            </w:pPr>
          </w:p>
          <w:p>
            <w:pPr>
              <w:pStyle w:val="TableParagraph"/>
              <w:ind w:left="103" w:right="105"/>
              <w:jc w:val="center"/>
              <w:rPr>
                <w:b/>
                <w:sz w:val="14"/>
              </w:rPr>
            </w:pPr>
            <w:r>
              <w:rPr>
                <w:b/>
                <w:sz w:val="14"/>
              </w:rPr>
              <w:t>IT and Cyber </w:t>
            </w:r>
            <w:r>
              <w:rPr>
                <w:b/>
                <w:w w:val="95"/>
                <w:sz w:val="14"/>
              </w:rPr>
              <w:t>Programs</w:t>
            </w:r>
          </w:p>
        </w:tc>
        <w:tc>
          <w:tcPr>
            <w:tcW w:w="908" w:type="dxa"/>
            <w:shd w:val="clear" w:color="auto" w:fill="FFF1CC"/>
          </w:tcPr>
          <w:p>
            <w:pPr>
              <w:pStyle w:val="TableParagraph"/>
              <w:spacing w:before="77"/>
              <w:ind w:left="82" w:right="82"/>
              <w:jc w:val="center"/>
              <w:rPr>
                <w:b/>
                <w:sz w:val="14"/>
              </w:rPr>
            </w:pPr>
            <w:r>
              <w:rPr>
                <w:b/>
                <w:sz w:val="14"/>
              </w:rPr>
              <w:t>Re- envision Workforce Strategies</w:t>
            </w:r>
          </w:p>
        </w:tc>
        <w:tc>
          <w:tcPr>
            <w:tcW w:w="973" w:type="dxa"/>
            <w:shd w:val="clear" w:color="auto" w:fill="FFF1CC"/>
          </w:tcPr>
          <w:p>
            <w:pPr>
              <w:pStyle w:val="TableParagraph"/>
              <w:spacing w:before="77"/>
              <w:ind w:left="102" w:right="104"/>
              <w:jc w:val="center"/>
              <w:rPr>
                <w:b/>
                <w:sz w:val="14"/>
              </w:rPr>
            </w:pPr>
            <w:r>
              <w:rPr>
                <w:b/>
                <w:w w:val="95"/>
                <w:sz w:val="14"/>
              </w:rPr>
              <w:t>Healthcare, </w:t>
            </w:r>
            <w:r>
              <w:rPr>
                <w:b/>
                <w:sz w:val="14"/>
              </w:rPr>
              <w:t>Biotech, and Future Programs</w:t>
            </w:r>
          </w:p>
        </w:tc>
      </w:tr>
      <w:tr>
        <w:trPr>
          <w:trHeight w:val="3059" w:hRule="atLeast"/>
        </w:trPr>
        <w:tc>
          <w:tcPr>
            <w:tcW w:w="742" w:type="dxa"/>
          </w:tcPr>
          <w:p>
            <w:pPr>
              <w:pStyle w:val="TableParagraph"/>
              <w:rPr>
                <w:rFonts w:ascii="Times New Roman"/>
                <w:sz w:val="14"/>
              </w:rPr>
            </w:pPr>
          </w:p>
        </w:tc>
        <w:tc>
          <w:tcPr>
            <w:tcW w:w="1251" w:type="dxa"/>
          </w:tcPr>
          <w:p>
            <w:pPr>
              <w:pStyle w:val="TableParagraph"/>
              <w:rPr>
                <w:rFonts w:ascii="Times New Roman"/>
                <w:sz w:val="14"/>
              </w:rPr>
            </w:pPr>
          </w:p>
        </w:tc>
        <w:tc>
          <w:tcPr>
            <w:tcW w:w="1498" w:type="dxa"/>
          </w:tcPr>
          <w:p>
            <w:pPr>
              <w:pStyle w:val="TableParagraph"/>
              <w:rPr>
                <w:rFonts w:ascii="Times New Roman"/>
                <w:sz w:val="14"/>
              </w:rPr>
            </w:pPr>
          </w:p>
        </w:tc>
        <w:tc>
          <w:tcPr>
            <w:tcW w:w="1124" w:type="dxa"/>
          </w:tcPr>
          <w:p>
            <w:pPr>
              <w:pStyle w:val="TableParagraph"/>
              <w:ind w:left="106"/>
              <w:rPr>
                <w:sz w:val="14"/>
              </w:rPr>
            </w:pPr>
            <w:r>
              <w:rPr>
                <w:sz w:val="14"/>
              </w:rPr>
              <w:t>Target:</w:t>
            </w:r>
          </w:p>
          <w:p>
            <w:pPr>
              <w:pStyle w:val="TableParagraph"/>
              <w:rPr>
                <w:b/>
                <w:sz w:val="14"/>
              </w:rPr>
            </w:pPr>
          </w:p>
          <w:p>
            <w:pPr>
              <w:pStyle w:val="TableParagraph"/>
              <w:ind w:left="106" w:right="295"/>
              <w:rPr>
                <w:sz w:val="14"/>
              </w:rPr>
            </w:pPr>
            <w:r>
              <w:rPr>
                <w:sz w:val="14"/>
              </w:rPr>
              <w:t>Acceptable Threshold:</w:t>
            </w:r>
          </w:p>
          <w:p>
            <w:pPr>
              <w:pStyle w:val="TableParagraph"/>
              <w:spacing w:before="10"/>
              <w:rPr>
                <w:b/>
                <w:sz w:val="13"/>
              </w:rPr>
            </w:pPr>
          </w:p>
          <w:p>
            <w:pPr>
              <w:pStyle w:val="TableParagraph"/>
              <w:spacing w:before="1"/>
              <w:ind w:left="106" w:right="124"/>
              <w:rPr>
                <w:sz w:val="14"/>
              </w:rPr>
            </w:pPr>
            <w:r>
              <w:rPr>
                <w:sz w:val="14"/>
              </w:rPr>
              <w:t>Justification for Threshold: (ex.</w:t>
            </w:r>
          </w:p>
          <w:p>
            <w:pPr>
              <w:pStyle w:val="TableParagraph"/>
              <w:ind w:left="106"/>
              <w:rPr>
                <w:sz w:val="14"/>
              </w:rPr>
            </w:pPr>
            <w:r>
              <w:rPr>
                <w:sz w:val="14"/>
              </w:rPr>
              <w:t>Benchmark based on last year’s data. Benchmark based on national data. Data will be collected this year to set a benchmark.)</w:t>
            </w:r>
          </w:p>
        </w:tc>
        <w:tc>
          <w:tcPr>
            <w:tcW w:w="848" w:type="dxa"/>
          </w:tcPr>
          <w:p>
            <w:pPr>
              <w:pStyle w:val="TableParagraph"/>
              <w:rPr>
                <w:rFonts w:ascii="Times New Roman"/>
                <w:sz w:val="14"/>
              </w:rPr>
            </w:pPr>
          </w:p>
        </w:tc>
        <w:tc>
          <w:tcPr>
            <w:tcW w:w="598" w:type="dxa"/>
          </w:tcPr>
          <w:p>
            <w:pPr>
              <w:pStyle w:val="TableParagraph"/>
              <w:rPr>
                <w:rFonts w:ascii="Times New Roman"/>
                <w:sz w:val="14"/>
              </w:rPr>
            </w:pPr>
          </w:p>
        </w:tc>
        <w:tc>
          <w:tcPr>
            <w:tcW w:w="972" w:type="dxa"/>
          </w:tcPr>
          <w:p>
            <w:pPr>
              <w:pStyle w:val="TableParagraph"/>
              <w:rPr>
                <w:rFonts w:ascii="Times New Roman"/>
                <w:sz w:val="14"/>
              </w:rPr>
            </w:pPr>
          </w:p>
        </w:tc>
        <w:tc>
          <w:tcPr>
            <w:tcW w:w="955" w:type="dxa"/>
          </w:tcPr>
          <w:p>
            <w:pPr>
              <w:pStyle w:val="TableParagraph"/>
              <w:rPr>
                <w:rFonts w:ascii="Times New Roman"/>
                <w:sz w:val="14"/>
              </w:rPr>
            </w:pPr>
          </w:p>
        </w:tc>
        <w:tc>
          <w:tcPr>
            <w:tcW w:w="1229" w:type="dxa"/>
          </w:tcPr>
          <w:p>
            <w:pPr>
              <w:pStyle w:val="TableParagraph"/>
              <w:rPr>
                <w:rFonts w:ascii="Times New Roman"/>
                <w:sz w:val="14"/>
              </w:rPr>
            </w:pPr>
          </w:p>
        </w:tc>
        <w:tc>
          <w:tcPr>
            <w:tcW w:w="987" w:type="dxa"/>
          </w:tcPr>
          <w:p>
            <w:pPr>
              <w:pStyle w:val="TableParagraph"/>
              <w:rPr>
                <w:rFonts w:ascii="Times New Roman"/>
                <w:sz w:val="14"/>
              </w:rPr>
            </w:pPr>
          </w:p>
        </w:tc>
        <w:tc>
          <w:tcPr>
            <w:tcW w:w="872" w:type="dxa"/>
          </w:tcPr>
          <w:p>
            <w:pPr>
              <w:pStyle w:val="TableParagraph"/>
              <w:rPr>
                <w:rFonts w:ascii="Times New Roman"/>
                <w:sz w:val="14"/>
              </w:rPr>
            </w:pPr>
          </w:p>
        </w:tc>
        <w:tc>
          <w:tcPr>
            <w:tcW w:w="908" w:type="dxa"/>
          </w:tcPr>
          <w:p>
            <w:pPr>
              <w:pStyle w:val="TableParagraph"/>
              <w:rPr>
                <w:rFonts w:ascii="Times New Roman"/>
                <w:sz w:val="14"/>
              </w:rPr>
            </w:pPr>
          </w:p>
        </w:tc>
        <w:tc>
          <w:tcPr>
            <w:tcW w:w="973" w:type="dxa"/>
          </w:tcPr>
          <w:p>
            <w:pPr>
              <w:pStyle w:val="TableParagraph"/>
              <w:rPr>
                <w:rFonts w:ascii="Times New Roman"/>
                <w:sz w:val="14"/>
              </w:rPr>
            </w:pPr>
          </w:p>
        </w:tc>
      </w:tr>
      <w:tr>
        <w:trPr>
          <w:trHeight w:val="1288" w:hRule="atLeast"/>
        </w:trPr>
        <w:tc>
          <w:tcPr>
            <w:tcW w:w="742" w:type="dxa"/>
          </w:tcPr>
          <w:p>
            <w:pPr>
              <w:pStyle w:val="TableParagraph"/>
              <w:rPr>
                <w:rFonts w:ascii="Times New Roman"/>
                <w:sz w:val="14"/>
              </w:rPr>
            </w:pPr>
          </w:p>
        </w:tc>
        <w:tc>
          <w:tcPr>
            <w:tcW w:w="1251" w:type="dxa"/>
          </w:tcPr>
          <w:p>
            <w:pPr>
              <w:pStyle w:val="TableParagraph"/>
              <w:rPr>
                <w:rFonts w:ascii="Times New Roman"/>
                <w:sz w:val="14"/>
              </w:rPr>
            </w:pPr>
          </w:p>
        </w:tc>
        <w:tc>
          <w:tcPr>
            <w:tcW w:w="1498" w:type="dxa"/>
          </w:tcPr>
          <w:p>
            <w:pPr>
              <w:pStyle w:val="TableParagraph"/>
              <w:rPr>
                <w:rFonts w:ascii="Times New Roman"/>
                <w:sz w:val="14"/>
              </w:rPr>
            </w:pPr>
          </w:p>
        </w:tc>
        <w:tc>
          <w:tcPr>
            <w:tcW w:w="1124" w:type="dxa"/>
          </w:tcPr>
          <w:p>
            <w:pPr>
              <w:pStyle w:val="TableParagraph"/>
              <w:spacing w:line="159" w:lineRule="exact"/>
              <w:ind w:left="106"/>
              <w:rPr>
                <w:sz w:val="14"/>
              </w:rPr>
            </w:pPr>
            <w:r>
              <w:rPr>
                <w:sz w:val="14"/>
              </w:rPr>
              <w:t>Target:</w:t>
            </w:r>
          </w:p>
          <w:p>
            <w:pPr>
              <w:pStyle w:val="TableParagraph"/>
              <w:spacing w:before="11"/>
              <w:rPr>
                <w:b/>
                <w:sz w:val="13"/>
              </w:rPr>
            </w:pPr>
          </w:p>
          <w:p>
            <w:pPr>
              <w:pStyle w:val="TableParagraph"/>
              <w:ind w:left="106" w:right="295"/>
              <w:rPr>
                <w:sz w:val="14"/>
              </w:rPr>
            </w:pPr>
            <w:r>
              <w:rPr>
                <w:sz w:val="14"/>
              </w:rPr>
              <w:t>Acceptable Threshold:</w:t>
            </w:r>
          </w:p>
          <w:p>
            <w:pPr>
              <w:pStyle w:val="TableParagraph"/>
              <w:spacing w:before="1"/>
              <w:rPr>
                <w:b/>
                <w:sz w:val="14"/>
              </w:rPr>
            </w:pPr>
          </w:p>
          <w:p>
            <w:pPr>
              <w:pStyle w:val="TableParagraph"/>
              <w:spacing w:before="1"/>
              <w:ind w:left="106" w:right="124"/>
              <w:rPr>
                <w:sz w:val="14"/>
              </w:rPr>
            </w:pPr>
            <w:r>
              <w:rPr>
                <w:sz w:val="14"/>
              </w:rPr>
              <w:t>Justification for Threshold:</w:t>
            </w:r>
          </w:p>
        </w:tc>
        <w:tc>
          <w:tcPr>
            <w:tcW w:w="848" w:type="dxa"/>
          </w:tcPr>
          <w:p>
            <w:pPr>
              <w:pStyle w:val="TableParagraph"/>
              <w:rPr>
                <w:rFonts w:ascii="Times New Roman"/>
                <w:sz w:val="14"/>
              </w:rPr>
            </w:pPr>
          </w:p>
        </w:tc>
        <w:tc>
          <w:tcPr>
            <w:tcW w:w="598" w:type="dxa"/>
          </w:tcPr>
          <w:p>
            <w:pPr>
              <w:pStyle w:val="TableParagraph"/>
              <w:rPr>
                <w:rFonts w:ascii="Times New Roman"/>
                <w:sz w:val="14"/>
              </w:rPr>
            </w:pPr>
          </w:p>
        </w:tc>
        <w:tc>
          <w:tcPr>
            <w:tcW w:w="972" w:type="dxa"/>
          </w:tcPr>
          <w:p>
            <w:pPr>
              <w:pStyle w:val="TableParagraph"/>
              <w:rPr>
                <w:rFonts w:ascii="Times New Roman"/>
                <w:sz w:val="14"/>
              </w:rPr>
            </w:pPr>
          </w:p>
        </w:tc>
        <w:tc>
          <w:tcPr>
            <w:tcW w:w="955" w:type="dxa"/>
          </w:tcPr>
          <w:p>
            <w:pPr>
              <w:pStyle w:val="TableParagraph"/>
              <w:rPr>
                <w:rFonts w:ascii="Times New Roman"/>
                <w:sz w:val="14"/>
              </w:rPr>
            </w:pPr>
          </w:p>
        </w:tc>
        <w:tc>
          <w:tcPr>
            <w:tcW w:w="1229" w:type="dxa"/>
          </w:tcPr>
          <w:p>
            <w:pPr>
              <w:pStyle w:val="TableParagraph"/>
              <w:rPr>
                <w:rFonts w:ascii="Times New Roman"/>
                <w:sz w:val="14"/>
              </w:rPr>
            </w:pPr>
          </w:p>
        </w:tc>
        <w:tc>
          <w:tcPr>
            <w:tcW w:w="987" w:type="dxa"/>
          </w:tcPr>
          <w:p>
            <w:pPr>
              <w:pStyle w:val="TableParagraph"/>
              <w:rPr>
                <w:rFonts w:ascii="Times New Roman"/>
                <w:sz w:val="14"/>
              </w:rPr>
            </w:pPr>
          </w:p>
        </w:tc>
        <w:tc>
          <w:tcPr>
            <w:tcW w:w="872" w:type="dxa"/>
          </w:tcPr>
          <w:p>
            <w:pPr>
              <w:pStyle w:val="TableParagraph"/>
              <w:rPr>
                <w:rFonts w:ascii="Times New Roman"/>
                <w:sz w:val="14"/>
              </w:rPr>
            </w:pPr>
          </w:p>
        </w:tc>
        <w:tc>
          <w:tcPr>
            <w:tcW w:w="908" w:type="dxa"/>
          </w:tcPr>
          <w:p>
            <w:pPr>
              <w:pStyle w:val="TableParagraph"/>
              <w:rPr>
                <w:rFonts w:ascii="Times New Roman"/>
                <w:sz w:val="14"/>
              </w:rPr>
            </w:pPr>
          </w:p>
        </w:tc>
        <w:tc>
          <w:tcPr>
            <w:tcW w:w="973" w:type="dxa"/>
          </w:tcPr>
          <w:p>
            <w:pPr>
              <w:pStyle w:val="TableParagraph"/>
              <w:rPr>
                <w:rFonts w:ascii="Times New Roman"/>
                <w:sz w:val="14"/>
              </w:rPr>
            </w:pPr>
          </w:p>
        </w:tc>
      </w:tr>
      <w:tr>
        <w:trPr>
          <w:trHeight w:val="1288" w:hRule="atLeast"/>
        </w:trPr>
        <w:tc>
          <w:tcPr>
            <w:tcW w:w="742" w:type="dxa"/>
          </w:tcPr>
          <w:p>
            <w:pPr>
              <w:pStyle w:val="TableParagraph"/>
              <w:rPr>
                <w:rFonts w:ascii="Times New Roman"/>
                <w:sz w:val="14"/>
              </w:rPr>
            </w:pPr>
          </w:p>
        </w:tc>
        <w:tc>
          <w:tcPr>
            <w:tcW w:w="1251" w:type="dxa"/>
          </w:tcPr>
          <w:p>
            <w:pPr>
              <w:pStyle w:val="TableParagraph"/>
              <w:rPr>
                <w:rFonts w:ascii="Times New Roman"/>
                <w:sz w:val="14"/>
              </w:rPr>
            </w:pPr>
          </w:p>
        </w:tc>
        <w:tc>
          <w:tcPr>
            <w:tcW w:w="1498" w:type="dxa"/>
          </w:tcPr>
          <w:p>
            <w:pPr>
              <w:pStyle w:val="TableParagraph"/>
              <w:rPr>
                <w:rFonts w:ascii="Times New Roman"/>
                <w:sz w:val="14"/>
              </w:rPr>
            </w:pPr>
          </w:p>
        </w:tc>
        <w:tc>
          <w:tcPr>
            <w:tcW w:w="1124" w:type="dxa"/>
          </w:tcPr>
          <w:p>
            <w:pPr>
              <w:pStyle w:val="TableParagraph"/>
              <w:spacing w:line="159" w:lineRule="exact"/>
              <w:ind w:left="106"/>
              <w:rPr>
                <w:sz w:val="14"/>
              </w:rPr>
            </w:pPr>
            <w:r>
              <w:rPr>
                <w:sz w:val="14"/>
              </w:rPr>
              <w:t>Target:</w:t>
            </w:r>
          </w:p>
          <w:p>
            <w:pPr>
              <w:pStyle w:val="TableParagraph"/>
              <w:spacing w:before="11"/>
              <w:rPr>
                <w:b/>
                <w:sz w:val="13"/>
              </w:rPr>
            </w:pPr>
          </w:p>
          <w:p>
            <w:pPr>
              <w:pStyle w:val="TableParagraph"/>
              <w:ind w:left="106" w:right="295"/>
              <w:rPr>
                <w:sz w:val="14"/>
              </w:rPr>
            </w:pPr>
            <w:r>
              <w:rPr>
                <w:sz w:val="14"/>
              </w:rPr>
              <w:t>Acceptable Threshold:</w:t>
            </w:r>
          </w:p>
          <w:p>
            <w:pPr>
              <w:pStyle w:val="TableParagraph"/>
              <w:spacing w:before="10"/>
              <w:rPr>
                <w:b/>
                <w:sz w:val="13"/>
              </w:rPr>
            </w:pPr>
          </w:p>
          <w:p>
            <w:pPr>
              <w:pStyle w:val="TableParagraph"/>
              <w:spacing w:before="1"/>
              <w:ind w:left="106" w:right="124"/>
              <w:rPr>
                <w:sz w:val="14"/>
              </w:rPr>
            </w:pPr>
            <w:r>
              <w:rPr>
                <w:sz w:val="14"/>
              </w:rPr>
              <w:t>Justification for Threshold:</w:t>
            </w:r>
          </w:p>
        </w:tc>
        <w:tc>
          <w:tcPr>
            <w:tcW w:w="848" w:type="dxa"/>
          </w:tcPr>
          <w:p>
            <w:pPr>
              <w:pStyle w:val="TableParagraph"/>
              <w:rPr>
                <w:rFonts w:ascii="Times New Roman"/>
                <w:sz w:val="14"/>
              </w:rPr>
            </w:pPr>
          </w:p>
        </w:tc>
        <w:tc>
          <w:tcPr>
            <w:tcW w:w="598" w:type="dxa"/>
          </w:tcPr>
          <w:p>
            <w:pPr>
              <w:pStyle w:val="TableParagraph"/>
              <w:rPr>
                <w:rFonts w:ascii="Times New Roman"/>
                <w:sz w:val="14"/>
              </w:rPr>
            </w:pPr>
          </w:p>
        </w:tc>
        <w:tc>
          <w:tcPr>
            <w:tcW w:w="972" w:type="dxa"/>
          </w:tcPr>
          <w:p>
            <w:pPr>
              <w:pStyle w:val="TableParagraph"/>
              <w:rPr>
                <w:rFonts w:ascii="Times New Roman"/>
                <w:sz w:val="14"/>
              </w:rPr>
            </w:pPr>
          </w:p>
        </w:tc>
        <w:tc>
          <w:tcPr>
            <w:tcW w:w="955" w:type="dxa"/>
          </w:tcPr>
          <w:p>
            <w:pPr>
              <w:pStyle w:val="TableParagraph"/>
              <w:rPr>
                <w:rFonts w:ascii="Times New Roman"/>
                <w:sz w:val="14"/>
              </w:rPr>
            </w:pPr>
          </w:p>
        </w:tc>
        <w:tc>
          <w:tcPr>
            <w:tcW w:w="1229" w:type="dxa"/>
          </w:tcPr>
          <w:p>
            <w:pPr>
              <w:pStyle w:val="TableParagraph"/>
              <w:rPr>
                <w:rFonts w:ascii="Times New Roman"/>
                <w:sz w:val="14"/>
              </w:rPr>
            </w:pPr>
          </w:p>
        </w:tc>
        <w:tc>
          <w:tcPr>
            <w:tcW w:w="987" w:type="dxa"/>
          </w:tcPr>
          <w:p>
            <w:pPr>
              <w:pStyle w:val="TableParagraph"/>
              <w:rPr>
                <w:rFonts w:ascii="Times New Roman"/>
                <w:sz w:val="14"/>
              </w:rPr>
            </w:pPr>
          </w:p>
        </w:tc>
        <w:tc>
          <w:tcPr>
            <w:tcW w:w="872" w:type="dxa"/>
          </w:tcPr>
          <w:p>
            <w:pPr>
              <w:pStyle w:val="TableParagraph"/>
              <w:rPr>
                <w:rFonts w:ascii="Times New Roman"/>
                <w:sz w:val="14"/>
              </w:rPr>
            </w:pPr>
          </w:p>
        </w:tc>
        <w:tc>
          <w:tcPr>
            <w:tcW w:w="908" w:type="dxa"/>
          </w:tcPr>
          <w:p>
            <w:pPr>
              <w:pStyle w:val="TableParagraph"/>
              <w:rPr>
                <w:rFonts w:ascii="Times New Roman"/>
                <w:sz w:val="14"/>
              </w:rPr>
            </w:pPr>
          </w:p>
        </w:tc>
        <w:tc>
          <w:tcPr>
            <w:tcW w:w="973" w:type="dxa"/>
          </w:tcPr>
          <w:p>
            <w:pPr>
              <w:pStyle w:val="TableParagraph"/>
              <w:rPr>
                <w:rFonts w:ascii="Times New Roman"/>
                <w:sz w:val="14"/>
              </w:rPr>
            </w:pPr>
          </w:p>
        </w:tc>
      </w:tr>
    </w:tbl>
    <w:p>
      <w:pPr>
        <w:pStyle w:val="BodyText"/>
        <w:rPr>
          <w:b/>
          <w:sz w:val="20"/>
        </w:rPr>
      </w:pPr>
    </w:p>
    <w:p>
      <w:pPr>
        <w:pStyle w:val="BodyText"/>
        <w:rPr>
          <w:b/>
          <w:sz w:val="20"/>
        </w:rPr>
      </w:pPr>
    </w:p>
    <w:p>
      <w:pPr>
        <w:pStyle w:val="BodyText"/>
        <w:spacing w:before="2"/>
        <w:rPr>
          <w:b/>
          <w:sz w:val="21"/>
        </w:rPr>
      </w:pPr>
    </w:p>
    <w:p>
      <w:pPr>
        <w:pStyle w:val="BodyText"/>
        <w:spacing w:before="94"/>
        <w:ind w:right="1"/>
        <w:jc w:val="center"/>
      </w:pPr>
      <w:r>
        <w:rPr>
          <w:w w:val="100"/>
        </w:rPr>
        <w:t>1</w:t>
      </w:r>
    </w:p>
    <w:p>
      <w:pPr>
        <w:spacing w:after="0"/>
        <w:jc w:val="center"/>
        <w:sectPr>
          <w:type w:val="continuous"/>
          <w:pgSz w:w="15840" w:h="12240" w:orient="landscape"/>
          <w:pgMar w:top="1140" w:bottom="280" w:left="1320" w:right="1320"/>
        </w:sectPr>
      </w:pPr>
    </w:p>
    <w:p>
      <w:pPr>
        <w:pStyle w:val="Heading1"/>
        <w:spacing w:before="75"/>
        <w:ind w:left="2353"/>
      </w:pPr>
      <w:r>
        <w:rPr/>
        <w:t>Process and Checklists for Strategic Plan Map</w:t>
      </w:r>
    </w:p>
    <w:p>
      <w:pPr>
        <w:pStyle w:val="BodyText"/>
        <w:rPr>
          <w:b/>
        </w:rPr>
      </w:pPr>
    </w:p>
    <w:p>
      <w:pPr>
        <w:spacing w:before="0"/>
        <w:ind w:left="100" w:right="0" w:firstLine="0"/>
        <w:jc w:val="left"/>
        <w:rPr>
          <w:b/>
          <w:sz w:val="22"/>
        </w:rPr>
      </w:pPr>
      <w:r>
        <w:rPr>
          <w:b/>
          <w:sz w:val="22"/>
        </w:rPr>
        <w:t>Step 1</w:t>
      </w:r>
    </w:p>
    <w:p>
      <w:pPr>
        <w:pStyle w:val="ListParagraph"/>
        <w:numPr>
          <w:ilvl w:val="0"/>
          <w:numId w:val="1"/>
        </w:numPr>
        <w:tabs>
          <w:tab w:pos="820" w:val="left" w:leader="none"/>
          <w:tab w:pos="821" w:val="left" w:leader="none"/>
        </w:tabs>
        <w:spacing w:line="268" w:lineRule="exact" w:before="4" w:after="0"/>
        <w:ind w:left="820" w:right="0" w:hanging="360"/>
        <w:jc w:val="left"/>
        <w:rPr>
          <w:sz w:val="22"/>
        </w:rPr>
      </w:pPr>
      <w:r>
        <w:rPr>
          <w:sz w:val="22"/>
        </w:rPr>
        <w:t>List expected learning (L) and operational (O)</w:t>
      </w:r>
      <w:r>
        <w:rPr>
          <w:spacing w:val="-1"/>
          <w:sz w:val="22"/>
        </w:rPr>
        <w:t> </w:t>
      </w:r>
      <w:r>
        <w:rPr>
          <w:sz w:val="22"/>
        </w:rPr>
        <w:t>outcomes.</w:t>
      </w:r>
    </w:p>
    <w:p>
      <w:pPr>
        <w:pStyle w:val="ListParagraph"/>
        <w:numPr>
          <w:ilvl w:val="0"/>
          <w:numId w:val="1"/>
        </w:numPr>
        <w:tabs>
          <w:tab w:pos="820" w:val="left" w:leader="none"/>
          <w:tab w:pos="821" w:val="left" w:leader="none"/>
        </w:tabs>
        <w:spacing w:line="268" w:lineRule="exact" w:before="0" w:after="0"/>
        <w:ind w:left="820" w:right="0" w:hanging="360"/>
        <w:jc w:val="left"/>
        <w:rPr>
          <w:sz w:val="22"/>
        </w:rPr>
      </w:pPr>
      <w:r>
        <w:rPr>
          <w:sz w:val="22"/>
        </w:rPr>
        <w:t>Include (L) or (O) next to the expected outcome to indicate the</w:t>
      </w:r>
      <w:r>
        <w:rPr>
          <w:spacing w:val="-15"/>
          <w:sz w:val="22"/>
        </w:rPr>
        <w:t> </w:t>
      </w:r>
      <w:r>
        <w:rPr>
          <w:sz w:val="22"/>
        </w:rPr>
        <w:t>type.</w:t>
      </w:r>
    </w:p>
    <w:p>
      <w:pPr>
        <w:pStyle w:val="BodyText"/>
        <w:spacing w:before="7"/>
        <w:rPr>
          <w:sz w:val="21"/>
        </w:rPr>
      </w:pPr>
    </w:p>
    <w:p>
      <w:pPr>
        <w:pStyle w:val="Heading1"/>
      </w:pPr>
      <w:r>
        <w:rPr/>
        <w:t>Step 2</w:t>
      </w:r>
    </w:p>
    <w:p>
      <w:pPr>
        <w:pStyle w:val="ListParagraph"/>
        <w:numPr>
          <w:ilvl w:val="0"/>
          <w:numId w:val="1"/>
        </w:numPr>
        <w:tabs>
          <w:tab w:pos="820" w:val="left" w:leader="none"/>
          <w:tab w:pos="821" w:val="left" w:leader="none"/>
        </w:tabs>
        <w:spacing w:line="237" w:lineRule="auto" w:before="6" w:after="0"/>
        <w:ind w:left="820" w:right="422" w:hanging="360"/>
        <w:jc w:val="left"/>
        <w:rPr>
          <w:sz w:val="22"/>
        </w:rPr>
      </w:pPr>
      <w:r>
        <w:rPr>
          <w:sz w:val="22"/>
        </w:rPr>
        <w:t>For each expected outcome, indicate the Strategic Plan Objective it addresses, which aligns with NOVA’s Mission, and mark</w:t>
      </w:r>
      <w:r>
        <w:rPr>
          <w:spacing w:val="1"/>
          <w:sz w:val="22"/>
        </w:rPr>
        <w:t> </w:t>
      </w:r>
      <w:r>
        <w:rPr>
          <w:sz w:val="22"/>
        </w:rPr>
        <w:t>(</w:t>
      </w:r>
      <w:r>
        <w:rPr>
          <w:rFonts w:ascii="Wingdings" w:hAnsi="Wingdings"/>
          <w:sz w:val="22"/>
        </w:rPr>
        <w:t></w:t>
      </w:r>
      <w:r>
        <w:rPr>
          <w:sz w:val="22"/>
        </w:rPr>
        <w:t>).</w:t>
      </w:r>
    </w:p>
    <w:p>
      <w:pPr>
        <w:pStyle w:val="ListParagraph"/>
        <w:numPr>
          <w:ilvl w:val="1"/>
          <w:numId w:val="1"/>
        </w:numPr>
        <w:tabs>
          <w:tab w:pos="1540" w:val="left" w:leader="none"/>
          <w:tab w:pos="1541" w:val="left" w:leader="none"/>
        </w:tabs>
        <w:spacing w:line="263" w:lineRule="exact" w:before="0" w:after="0"/>
        <w:ind w:left="1540" w:right="0" w:hanging="360"/>
        <w:jc w:val="left"/>
        <w:rPr>
          <w:sz w:val="22"/>
        </w:rPr>
      </w:pPr>
      <w:r>
        <w:rPr>
          <w:sz w:val="22"/>
        </w:rPr>
        <w:t>Each expected outcome should address at least one</w:t>
      </w:r>
      <w:r>
        <w:rPr>
          <w:spacing w:val="-11"/>
          <w:sz w:val="22"/>
        </w:rPr>
        <w:t> </w:t>
      </w:r>
      <w:r>
        <w:rPr>
          <w:sz w:val="22"/>
        </w:rPr>
        <w:t>objective</w:t>
      </w:r>
    </w:p>
    <w:p>
      <w:pPr>
        <w:pStyle w:val="ListParagraph"/>
        <w:numPr>
          <w:ilvl w:val="1"/>
          <w:numId w:val="1"/>
        </w:numPr>
        <w:tabs>
          <w:tab w:pos="1540" w:val="left" w:leader="none"/>
          <w:tab w:pos="1541" w:val="left" w:leader="none"/>
        </w:tabs>
        <w:spacing w:line="263" w:lineRule="exact" w:before="0" w:after="0"/>
        <w:ind w:left="1540" w:right="0" w:hanging="360"/>
        <w:jc w:val="left"/>
        <w:rPr>
          <w:sz w:val="22"/>
        </w:rPr>
      </w:pPr>
      <w:r>
        <w:rPr>
          <w:sz w:val="22"/>
        </w:rPr>
        <w:t>If not, the outcome and its place in the unit should be</w:t>
      </w:r>
      <w:r>
        <w:rPr>
          <w:spacing w:val="-13"/>
          <w:sz w:val="22"/>
        </w:rPr>
        <w:t> </w:t>
      </w:r>
      <w:r>
        <w:rPr>
          <w:sz w:val="22"/>
        </w:rPr>
        <w:t>reexamined</w:t>
      </w:r>
    </w:p>
    <w:p>
      <w:pPr>
        <w:pStyle w:val="BodyText"/>
        <w:spacing w:before="9"/>
        <w:rPr>
          <w:sz w:val="11"/>
        </w:rPr>
      </w:pPr>
    </w:p>
    <w:p>
      <w:pPr>
        <w:pStyle w:val="Heading1"/>
        <w:spacing w:before="93"/>
      </w:pPr>
      <w:r>
        <w:rPr/>
        <w:t>Step 3</w:t>
      </w:r>
    </w:p>
    <w:p>
      <w:pPr>
        <w:pStyle w:val="ListParagraph"/>
        <w:numPr>
          <w:ilvl w:val="0"/>
          <w:numId w:val="1"/>
        </w:numPr>
        <w:tabs>
          <w:tab w:pos="820" w:val="left" w:leader="none"/>
          <w:tab w:pos="821" w:val="left" w:leader="none"/>
        </w:tabs>
        <w:spacing w:line="269" w:lineRule="exact" w:before="4" w:after="0"/>
        <w:ind w:left="820" w:right="0" w:hanging="360"/>
        <w:jc w:val="left"/>
        <w:rPr>
          <w:sz w:val="22"/>
        </w:rPr>
      </w:pPr>
      <w:r>
        <w:rPr>
          <w:sz w:val="22"/>
        </w:rPr>
        <w:t>Provide the measure of</w:t>
      </w:r>
      <w:r>
        <w:rPr>
          <w:spacing w:val="-2"/>
          <w:sz w:val="22"/>
        </w:rPr>
        <w:t> </w:t>
      </w:r>
      <w:r>
        <w:rPr>
          <w:sz w:val="22"/>
        </w:rPr>
        <w:t>evaluation.</w:t>
      </w:r>
    </w:p>
    <w:p>
      <w:pPr>
        <w:pStyle w:val="ListParagraph"/>
        <w:numPr>
          <w:ilvl w:val="0"/>
          <w:numId w:val="1"/>
        </w:numPr>
        <w:tabs>
          <w:tab w:pos="821" w:val="left" w:leader="none"/>
          <w:tab w:pos="822" w:val="left" w:leader="none"/>
        </w:tabs>
        <w:spacing w:line="269" w:lineRule="exact" w:before="0" w:after="0"/>
        <w:ind w:left="821" w:right="0" w:hanging="360"/>
        <w:jc w:val="left"/>
        <w:rPr>
          <w:sz w:val="22"/>
        </w:rPr>
      </w:pPr>
      <w:r>
        <w:rPr>
          <w:sz w:val="22"/>
        </w:rPr>
        <w:t>Some examples of measures of evaluation are presented in table</w:t>
      </w:r>
      <w:r>
        <w:rPr>
          <w:spacing w:val="-9"/>
          <w:sz w:val="22"/>
        </w:rPr>
        <w:t> </w:t>
      </w:r>
      <w:r>
        <w:rPr>
          <w:sz w:val="22"/>
        </w:rPr>
        <w:t>below.</w:t>
      </w:r>
    </w:p>
    <w:p>
      <w:pPr>
        <w:pStyle w:val="BodyText"/>
        <w:spacing w:before="5"/>
        <w:rPr>
          <w:sz w:val="21"/>
        </w:rPr>
      </w:pPr>
    </w:p>
    <w:p>
      <w:pPr>
        <w:pStyle w:val="Heading1"/>
        <w:spacing w:after="7"/>
        <w:ind w:left="3532" w:right="3529"/>
        <w:jc w:val="center"/>
      </w:pPr>
      <w:r>
        <w:rPr/>
        <w:t>Measures of Evaluation</w:t>
      </w:r>
    </w:p>
    <w:tbl>
      <w:tblPr>
        <w:tblW w:w="0" w:type="auto"/>
        <w:jc w:val="left"/>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5"/>
      </w:tblGrid>
      <w:tr>
        <w:trPr>
          <w:trHeight w:val="230" w:hRule="atLeast"/>
        </w:trPr>
        <w:tc>
          <w:tcPr>
            <w:tcW w:w="7555" w:type="dxa"/>
            <w:shd w:val="clear" w:color="auto" w:fill="D9D9D9"/>
          </w:tcPr>
          <w:p>
            <w:pPr>
              <w:pStyle w:val="TableParagraph"/>
              <w:spacing w:line="210" w:lineRule="exact"/>
              <w:ind w:left="2904" w:right="2897"/>
              <w:jc w:val="center"/>
              <w:rPr>
                <w:b/>
                <w:sz w:val="20"/>
              </w:rPr>
            </w:pPr>
            <w:r>
              <w:rPr>
                <w:b/>
                <w:sz w:val="20"/>
              </w:rPr>
              <w:t>Direct Measures</w:t>
            </w:r>
          </w:p>
        </w:tc>
      </w:tr>
      <w:tr>
        <w:trPr>
          <w:trHeight w:val="258" w:hRule="atLeast"/>
        </w:trPr>
        <w:tc>
          <w:tcPr>
            <w:tcW w:w="7555" w:type="dxa"/>
          </w:tcPr>
          <w:p>
            <w:pPr>
              <w:pStyle w:val="TableParagraph"/>
              <w:spacing w:line="225" w:lineRule="exact" w:before="14"/>
              <w:ind w:left="107"/>
              <w:rPr>
                <w:sz w:val="20"/>
              </w:rPr>
            </w:pPr>
            <w:r>
              <w:rPr>
                <w:sz w:val="20"/>
              </w:rPr>
              <w:t>Collect data (number of users, inquiries, positive/negative comments, etc.)</w:t>
            </w:r>
          </w:p>
        </w:tc>
      </w:tr>
      <w:tr>
        <w:trPr>
          <w:trHeight w:val="258" w:hRule="atLeast"/>
        </w:trPr>
        <w:tc>
          <w:tcPr>
            <w:tcW w:w="7555" w:type="dxa"/>
          </w:tcPr>
          <w:p>
            <w:pPr>
              <w:pStyle w:val="TableParagraph"/>
              <w:spacing w:line="225" w:lineRule="exact" w:before="14"/>
              <w:ind w:left="107"/>
              <w:rPr>
                <w:sz w:val="20"/>
              </w:rPr>
            </w:pPr>
            <w:r>
              <w:rPr>
                <w:sz w:val="20"/>
              </w:rPr>
              <w:t>Assignment/Quiz</w:t>
            </w:r>
          </w:p>
        </w:tc>
      </w:tr>
      <w:tr>
        <w:trPr>
          <w:trHeight w:val="258" w:hRule="atLeast"/>
        </w:trPr>
        <w:tc>
          <w:tcPr>
            <w:tcW w:w="7555" w:type="dxa"/>
          </w:tcPr>
          <w:p>
            <w:pPr>
              <w:pStyle w:val="TableParagraph"/>
              <w:spacing w:line="225" w:lineRule="exact" w:before="14"/>
              <w:ind w:left="107"/>
              <w:rPr>
                <w:sz w:val="20"/>
              </w:rPr>
            </w:pPr>
            <w:r>
              <w:rPr>
                <w:sz w:val="20"/>
              </w:rPr>
              <w:t>Pre-test and Post-test</w:t>
            </w:r>
          </w:p>
        </w:tc>
      </w:tr>
      <w:tr>
        <w:trPr>
          <w:trHeight w:val="258" w:hRule="atLeast"/>
        </w:trPr>
        <w:tc>
          <w:tcPr>
            <w:tcW w:w="7555" w:type="dxa"/>
          </w:tcPr>
          <w:p>
            <w:pPr>
              <w:pStyle w:val="TableParagraph"/>
              <w:spacing w:line="225" w:lineRule="exact" w:before="14"/>
              <w:ind w:left="107"/>
              <w:rPr>
                <w:sz w:val="20"/>
              </w:rPr>
            </w:pPr>
            <w:r>
              <w:rPr>
                <w:sz w:val="20"/>
              </w:rPr>
              <w:t>Email log</w:t>
            </w:r>
          </w:p>
        </w:tc>
      </w:tr>
      <w:tr>
        <w:trPr>
          <w:trHeight w:val="258" w:hRule="atLeast"/>
        </w:trPr>
        <w:tc>
          <w:tcPr>
            <w:tcW w:w="7555" w:type="dxa"/>
          </w:tcPr>
          <w:p>
            <w:pPr>
              <w:pStyle w:val="TableParagraph"/>
              <w:spacing w:line="225" w:lineRule="exact" w:before="14"/>
              <w:ind w:left="107"/>
              <w:rPr>
                <w:sz w:val="20"/>
              </w:rPr>
            </w:pPr>
            <w:r>
              <w:rPr>
                <w:sz w:val="20"/>
              </w:rPr>
              <w:t>Phone call log</w:t>
            </w:r>
          </w:p>
        </w:tc>
      </w:tr>
      <w:tr>
        <w:trPr>
          <w:trHeight w:val="258" w:hRule="atLeast"/>
        </w:trPr>
        <w:tc>
          <w:tcPr>
            <w:tcW w:w="7555" w:type="dxa"/>
          </w:tcPr>
          <w:p>
            <w:pPr>
              <w:pStyle w:val="TableParagraph"/>
              <w:spacing w:line="225" w:lineRule="exact" w:before="14"/>
              <w:ind w:left="107"/>
              <w:rPr>
                <w:sz w:val="20"/>
              </w:rPr>
            </w:pPr>
            <w:r>
              <w:rPr>
                <w:sz w:val="20"/>
              </w:rPr>
              <w:t>Checklist or Rubrics for evaluating</w:t>
            </w:r>
          </w:p>
        </w:tc>
      </w:tr>
      <w:tr>
        <w:trPr>
          <w:trHeight w:val="258" w:hRule="atLeast"/>
        </w:trPr>
        <w:tc>
          <w:tcPr>
            <w:tcW w:w="7555" w:type="dxa"/>
            <w:shd w:val="clear" w:color="auto" w:fill="D9D9D9"/>
          </w:tcPr>
          <w:p>
            <w:pPr>
              <w:pStyle w:val="TableParagraph"/>
              <w:spacing w:line="227" w:lineRule="exact" w:before="11"/>
              <w:ind w:left="2904" w:right="2899"/>
              <w:jc w:val="center"/>
              <w:rPr>
                <w:b/>
                <w:sz w:val="20"/>
              </w:rPr>
            </w:pPr>
            <w:r>
              <w:rPr>
                <w:b/>
                <w:sz w:val="20"/>
              </w:rPr>
              <w:t>Indirect Measures</w:t>
            </w:r>
          </w:p>
        </w:tc>
      </w:tr>
      <w:tr>
        <w:trPr>
          <w:trHeight w:val="258" w:hRule="atLeast"/>
        </w:trPr>
        <w:tc>
          <w:tcPr>
            <w:tcW w:w="7555" w:type="dxa"/>
          </w:tcPr>
          <w:p>
            <w:pPr>
              <w:pStyle w:val="TableParagraph"/>
              <w:spacing w:line="225" w:lineRule="exact" w:before="14"/>
              <w:ind w:left="107"/>
              <w:rPr>
                <w:sz w:val="20"/>
              </w:rPr>
            </w:pPr>
            <w:r>
              <w:rPr>
                <w:sz w:val="20"/>
              </w:rPr>
              <w:t>Satisfaction surveys</w:t>
            </w:r>
          </w:p>
        </w:tc>
      </w:tr>
      <w:tr>
        <w:trPr>
          <w:trHeight w:val="261" w:hRule="atLeast"/>
        </w:trPr>
        <w:tc>
          <w:tcPr>
            <w:tcW w:w="7555" w:type="dxa"/>
          </w:tcPr>
          <w:p>
            <w:pPr>
              <w:pStyle w:val="TableParagraph"/>
              <w:spacing w:line="225" w:lineRule="exact" w:before="16"/>
              <w:ind w:left="107"/>
              <w:rPr>
                <w:sz w:val="20"/>
              </w:rPr>
            </w:pPr>
            <w:r>
              <w:rPr>
                <w:sz w:val="20"/>
              </w:rPr>
              <w:t>Comment cards</w:t>
            </w:r>
          </w:p>
        </w:tc>
      </w:tr>
      <w:tr>
        <w:trPr>
          <w:trHeight w:val="258" w:hRule="atLeast"/>
        </w:trPr>
        <w:tc>
          <w:tcPr>
            <w:tcW w:w="7555" w:type="dxa"/>
          </w:tcPr>
          <w:p>
            <w:pPr>
              <w:pStyle w:val="TableParagraph"/>
              <w:spacing w:line="225" w:lineRule="exact" w:before="14"/>
              <w:ind w:left="107"/>
              <w:rPr>
                <w:sz w:val="20"/>
              </w:rPr>
            </w:pPr>
            <w:r>
              <w:rPr>
                <w:sz w:val="20"/>
              </w:rPr>
              <w:t>Survey community/student/faculty/staff</w:t>
            </w:r>
          </w:p>
        </w:tc>
      </w:tr>
      <w:tr>
        <w:trPr>
          <w:trHeight w:val="258" w:hRule="atLeast"/>
        </w:trPr>
        <w:tc>
          <w:tcPr>
            <w:tcW w:w="7555" w:type="dxa"/>
          </w:tcPr>
          <w:p>
            <w:pPr>
              <w:pStyle w:val="TableParagraph"/>
              <w:spacing w:line="225" w:lineRule="exact" w:before="14"/>
              <w:ind w:left="107"/>
              <w:rPr>
                <w:sz w:val="20"/>
              </w:rPr>
            </w:pPr>
            <w:r>
              <w:rPr>
                <w:sz w:val="20"/>
              </w:rPr>
              <w:t>Focus groups</w:t>
            </w:r>
          </w:p>
        </w:tc>
      </w:tr>
    </w:tbl>
    <w:p>
      <w:pPr>
        <w:pStyle w:val="BodyText"/>
        <w:spacing w:before="5"/>
        <w:rPr>
          <w:b/>
          <w:sz w:val="21"/>
        </w:rPr>
      </w:pPr>
    </w:p>
    <w:p>
      <w:pPr>
        <w:spacing w:before="0"/>
        <w:ind w:left="100" w:right="0" w:firstLine="0"/>
        <w:jc w:val="left"/>
        <w:rPr>
          <w:b/>
          <w:sz w:val="22"/>
        </w:rPr>
      </w:pPr>
      <w:r>
        <w:rPr>
          <w:b/>
          <w:sz w:val="22"/>
        </w:rPr>
        <w:t>Step 4</w:t>
      </w:r>
    </w:p>
    <w:p>
      <w:pPr>
        <w:pStyle w:val="ListParagraph"/>
        <w:numPr>
          <w:ilvl w:val="0"/>
          <w:numId w:val="1"/>
        </w:numPr>
        <w:tabs>
          <w:tab w:pos="819" w:val="left" w:leader="none"/>
          <w:tab w:pos="821" w:val="left" w:leader="none"/>
        </w:tabs>
        <w:spacing w:line="267" w:lineRule="exact" w:before="4" w:after="0"/>
        <w:ind w:left="820" w:right="0" w:hanging="361"/>
        <w:jc w:val="left"/>
        <w:rPr>
          <w:sz w:val="22"/>
        </w:rPr>
      </w:pPr>
      <w:r>
        <w:rPr>
          <w:sz w:val="22"/>
        </w:rPr>
        <w:t>Provide the target and acceptable threshold for each expected</w:t>
      </w:r>
      <w:r>
        <w:rPr>
          <w:spacing w:val="-11"/>
          <w:sz w:val="22"/>
        </w:rPr>
        <w:t> </w:t>
      </w:r>
      <w:r>
        <w:rPr>
          <w:sz w:val="22"/>
        </w:rPr>
        <w:t>outcome.</w:t>
      </w:r>
    </w:p>
    <w:p>
      <w:pPr>
        <w:pStyle w:val="ListParagraph"/>
        <w:numPr>
          <w:ilvl w:val="1"/>
          <w:numId w:val="1"/>
        </w:numPr>
        <w:tabs>
          <w:tab w:pos="1540" w:val="left" w:leader="none"/>
          <w:tab w:pos="1541" w:val="left" w:leader="none"/>
        </w:tabs>
        <w:spacing w:line="261" w:lineRule="exact" w:before="0" w:after="0"/>
        <w:ind w:left="1540" w:right="0" w:hanging="360"/>
        <w:jc w:val="left"/>
        <w:rPr>
          <w:sz w:val="22"/>
        </w:rPr>
      </w:pPr>
      <w:r>
        <w:rPr>
          <w:b/>
          <w:sz w:val="22"/>
        </w:rPr>
        <w:t>Target </w:t>
      </w:r>
      <w:r>
        <w:rPr>
          <w:sz w:val="22"/>
        </w:rPr>
        <w:t>is number or percentage that you hope you will</w:t>
      </w:r>
      <w:r>
        <w:rPr>
          <w:spacing w:val="-5"/>
          <w:sz w:val="22"/>
        </w:rPr>
        <w:t> </w:t>
      </w:r>
      <w:r>
        <w:rPr>
          <w:sz w:val="22"/>
        </w:rPr>
        <w:t>achieve.</w:t>
      </w:r>
    </w:p>
    <w:p>
      <w:pPr>
        <w:pStyle w:val="ListParagraph"/>
        <w:numPr>
          <w:ilvl w:val="1"/>
          <w:numId w:val="1"/>
        </w:numPr>
        <w:tabs>
          <w:tab w:pos="1540" w:val="left" w:leader="none"/>
          <w:tab w:pos="1541" w:val="left" w:leader="none"/>
        </w:tabs>
        <w:spacing w:line="263" w:lineRule="exact" w:before="0" w:after="0"/>
        <w:ind w:left="1540" w:right="0" w:hanging="360"/>
        <w:jc w:val="left"/>
        <w:rPr>
          <w:sz w:val="22"/>
        </w:rPr>
      </w:pPr>
      <w:r>
        <w:rPr>
          <w:b/>
          <w:sz w:val="22"/>
        </w:rPr>
        <w:t>Acceptable threshold </w:t>
      </w:r>
      <w:r>
        <w:rPr>
          <w:sz w:val="22"/>
        </w:rPr>
        <w:t>is the minimum acceptable performance</w:t>
      </w:r>
      <w:r>
        <w:rPr>
          <w:spacing w:val="-12"/>
          <w:sz w:val="22"/>
        </w:rPr>
        <w:t> </w:t>
      </w:r>
      <w:r>
        <w:rPr>
          <w:sz w:val="22"/>
        </w:rPr>
        <w:t>standard.</w:t>
      </w:r>
    </w:p>
    <w:p>
      <w:pPr>
        <w:spacing w:after="0" w:line="263" w:lineRule="exact"/>
        <w:jc w:val="left"/>
        <w:rPr>
          <w:sz w:val="22"/>
        </w:rPr>
        <w:sectPr>
          <w:footerReference w:type="default" r:id="rId5"/>
          <w:pgSz w:w="12240" w:h="15840"/>
          <w:pgMar w:footer="1037" w:header="0" w:top="1360" w:bottom="1220" w:left="1340" w:right="1340"/>
          <w:pgNumType w:start="2"/>
        </w:sectPr>
      </w:pPr>
    </w:p>
    <w:p>
      <w:pPr>
        <w:pStyle w:val="BodyText"/>
        <w:spacing w:line="436" w:lineRule="auto" w:before="80"/>
        <w:ind w:left="3239" w:right="128" w:hanging="3092"/>
        <w:rPr>
          <w:rFonts w:ascii="Arial Black" w:hAnsi="Arial Black"/>
        </w:rPr>
      </w:pPr>
      <w:r>
        <w:rPr>
          <w:rFonts w:ascii="Arial Black" w:hAnsi="Arial Black"/>
        </w:rPr>
        <w:t>PATHWAY TO THE AMERICAN DREAM—NOVA’S STRATEGIC PLAN 2017-2023 THE NOVA COMMITMENT</w:t>
      </w:r>
    </w:p>
    <w:p>
      <w:pPr>
        <w:pStyle w:val="BodyText"/>
        <w:ind w:left="100" w:right="113"/>
        <w:jc w:val="both"/>
      </w:pPr>
      <w:r>
        <w:rPr/>
        <w:t>As its primary contributions to meeting the needs of the Commonwealth of Virginia, the Northern Virginia Community College pledges to advance the social and economic mobility of its students while producing an educated citizenry for the 21st Century.</w:t>
      </w:r>
    </w:p>
    <w:p>
      <w:pPr>
        <w:pStyle w:val="BodyText"/>
        <w:spacing w:before="8"/>
        <w:rPr>
          <w:sz w:val="21"/>
        </w:rPr>
      </w:pPr>
    </w:p>
    <w:p>
      <w:pPr>
        <w:pStyle w:val="BodyText"/>
        <w:ind w:left="1840"/>
        <w:rPr>
          <w:rFonts w:ascii="Arial Black"/>
        </w:rPr>
      </w:pPr>
      <w:r>
        <w:rPr>
          <w:rFonts w:ascii="Arial Black"/>
        </w:rPr>
        <w:t>THE STRATEGIC PLAN GOALS AND OBJECTIVES</w:t>
      </w:r>
    </w:p>
    <w:p>
      <w:pPr>
        <w:spacing w:line="240" w:lineRule="auto" w:before="251"/>
        <w:ind w:left="100" w:right="502" w:hanging="1"/>
        <w:jc w:val="left"/>
        <w:rPr>
          <w:b/>
          <w:sz w:val="22"/>
        </w:rPr>
      </w:pPr>
      <w:r>
        <w:rPr>
          <w:sz w:val="22"/>
        </w:rPr>
        <w:t>To deliver on this commitment NOVA will focus its creativity and talent, its effort and energy, and its resources and persistence, on achieving three overarching goals—success, achievement, and prosperity. It will strive to enable </w:t>
      </w:r>
      <w:r>
        <w:rPr>
          <w:b/>
          <w:sz w:val="22"/>
        </w:rPr>
        <w:t>Every Student to Succeed, Every Program to Achieve, </w:t>
      </w:r>
      <w:r>
        <w:rPr>
          <w:sz w:val="22"/>
        </w:rPr>
        <w:t>and </w:t>
      </w:r>
      <w:r>
        <w:rPr>
          <w:b/>
          <w:sz w:val="22"/>
        </w:rPr>
        <w:t>Every Community to Prosper.</w:t>
      </w:r>
    </w:p>
    <w:p>
      <w:pPr>
        <w:pStyle w:val="BodyText"/>
        <w:rPr>
          <w:b/>
        </w:rPr>
      </w:pPr>
    </w:p>
    <w:p>
      <w:pPr>
        <w:pStyle w:val="BodyText"/>
        <w:ind w:left="100" w:right="206"/>
      </w:pPr>
      <w:r>
        <w:rPr/>
        <w:t>To advance the completion agenda described above, thereby promoting students’ success and enhancing their social mobility, ensuring that programs achieve, and producing an educated citizenry for the 21st Century, the following goals and objectives are adopted:</w:t>
      </w:r>
    </w:p>
    <w:p>
      <w:pPr>
        <w:pStyle w:val="BodyText"/>
        <w:spacing w:before="1"/>
      </w:pPr>
    </w:p>
    <w:p>
      <w:pPr>
        <w:pStyle w:val="BodyText"/>
        <w:spacing w:line="308" w:lineRule="exact"/>
        <w:ind w:left="100"/>
        <w:rPr>
          <w:rFonts w:ascii="Arial Black"/>
        </w:rPr>
      </w:pPr>
      <w:r>
        <w:rPr>
          <w:rFonts w:ascii="Arial Black"/>
        </w:rPr>
        <w:t>GOAL 1: Every Student Succeeds</w:t>
      </w:r>
    </w:p>
    <w:p>
      <w:pPr>
        <w:pStyle w:val="ListParagraph"/>
        <w:numPr>
          <w:ilvl w:val="0"/>
          <w:numId w:val="2"/>
        </w:numPr>
        <w:tabs>
          <w:tab w:pos="604" w:val="left" w:leader="none"/>
          <w:tab w:pos="605" w:val="left" w:leader="none"/>
        </w:tabs>
        <w:spacing w:line="240" w:lineRule="auto" w:before="0" w:after="0"/>
        <w:ind w:left="604" w:right="403" w:hanging="360"/>
        <w:jc w:val="left"/>
        <w:rPr>
          <w:sz w:val="22"/>
        </w:rPr>
      </w:pPr>
      <w:r>
        <w:rPr>
          <w:b/>
          <w:sz w:val="22"/>
        </w:rPr>
        <w:t>Objective 1: </w:t>
      </w:r>
      <w:r>
        <w:rPr>
          <w:sz w:val="22"/>
        </w:rPr>
        <w:t>Develop a College-wide approach to advising that ensures all students are advised and have access to support throughout their time at</w:t>
      </w:r>
      <w:r>
        <w:rPr>
          <w:spacing w:val="-6"/>
          <w:sz w:val="22"/>
        </w:rPr>
        <w:t> </w:t>
      </w:r>
      <w:r>
        <w:rPr>
          <w:sz w:val="22"/>
        </w:rPr>
        <w:t>NOVA</w:t>
      </w:r>
    </w:p>
    <w:p>
      <w:pPr>
        <w:pStyle w:val="ListParagraph"/>
        <w:numPr>
          <w:ilvl w:val="0"/>
          <w:numId w:val="2"/>
        </w:numPr>
        <w:tabs>
          <w:tab w:pos="604" w:val="left" w:leader="none"/>
          <w:tab w:pos="605" w:val="left" w:leader="none"/>
        </w:tabs>
        <w:spacing w:line="240" w:lineRule="auto" w:before="37" w:after="0"/>
        <w:ind w:left="604" w:right="734" w:hanging="360"/>
        <w:jc w:val="left"/>
        <w:rPr>
          <w:sz w:val="22"/>
        </w:rPr>
      </w:pPr>
      <w:r>
        <w:rPr>
          <w:b/>
          <w:sz w:val="22"/>
        </w:rPr>
        <w:t>Objective 2: </w:t>
      </w:r>
      <w:r>
        <w:rPr>
          <w:sz w:val="22"/>
        </w:rPr>
        <w:t>Implement VIP-PASS System as the foundational technology based on NOVA Informed Pathways for student self-advising, assignment and coordination of advisors, and course</w:t>
      </w:r>
      <w:r>
        <w:rPr>
          <w:spacing w:val="-1"/>
          <w:sz w:val="22"/>
        </w:rPr>
        <w:t> </w:t>
      </w:r>
      <w:r>
        <w:rPr>
          <w:sz w:val="22"/>
        </w:rPr>
        <w:t>registration</w:t>
      </w:r>
    </w:p>
    <w:p>
      <w:pPr>
        <w:pStyle w:val="BodyText"/>
        <w:spacing w:before="1"/>
      </w:pPr>
    </w:p>
    <w:p>
      <w:pPr>
        <w:pStyle w:val="BodyText"/>
        <w:spacing w:line="308" w:lineRule="exact" w:before="1"/>
        <w:ind w:left="100"/>
        <w:rPr>
          <w:rFonts w:ascii="Arial Black"/>
        </w:rPr>
      </w:pPr>
      <w:r>
        <w:rPr>
          <w:rFonts w:ascii="Arial Black"/>
        </w:rPr>
        <w:t>GOAL 2: Every Program Achieves</w:t>
      </w:r>
    </w:p>
    <w:p>
      <w:pPr>
        <w:pStyle w:val="ListParagraph"/>
        <w:numPr>
          <w:ilvl w:val="0"/>
          <w:numId w:val="2"/>
        </w:numPr>
        <w:tabs>
          <w:tab w:pos="604" w:val="left" w:leader="none"/>
          <w:tab w:pos="605" w:val="left" w:leader="none"/>
        </w:tabs>
        <w:spacing w:line="240" w:lineRule="auto" w:before="0" w:after="0"/>
        <w:ind w:left="604" w:right="245" w:hanging="360"/>
        <w:jc w:val="left"/>
        <w:rPr>
          <w:sz w:val="22"/>
        </w:rPr>
      </w:pPr>
      <w:r>
        <w:rPr>
          <w:b/>
          <w:sz w:val="22"/>
        </w:rPr>
        <w:t>Objective 3: </w:t>
      </w:r>
      <w:r>
        <w:rPr>
          <w:sz w:val="22"/>
        </w:rPr>
        <w:t>Develop comprehensive, fully integrated Informed Pathways for every program to ensure seamless transitions from high school and other entry points to NOVA, and from NOVA to four-year transfer institutions or the</w:t>
      </w:r>
      <w:r>
        <w:rPr>
          <w:spacing w:val="-13"/>
          <w:sz w:val="22"/>
        </w:rPr>
        <w:t> </w:t>
      </w:r>
      <w:r>
        <w:rPr>
          <w:sz w:val="22"/>
        </w:rPr>
        <w:t>workforce</w:t>
      </w:r>
    </w:p>
    <w:p>
      <w:pPr>
        <w:pStyle w:val="ListParagraph"/>
        <w:numPr>
          <w:ilvl w:val="0"/>
          <w:numId w:val="2"/>
        </w:numPr>
        <w:tabs>
          <w:tab w:pos="604" w:val="left" w:leader="none"/>
          <w:tab w:pos="605" w:val="left" w:leader="none"/>
        </w:tabs>
        <w:spacing w:line="240" w:lineRule="auto" w:before="36" w:after="0"/>
        <w:ind w:left="604" w:right="280" w:hanging="360"/>
        <w:jc w:val="left"/>
        <w:rPr>
          <w:sz w:val="22"/>
        </w:rPr>
      </w:pPr>
      <w:r>
        <w:rPr>
          <w:b/>
          <w:sz w:val="22"/>
        </w:rPr>
        <w:t>Objective 4: </w:t>
      </w:r>
      <w:r>
        <w:rPr>
          <w:sz w:val="22"/>
        </w:rPr>
        <w:t>Develop effective processes and protocols for programmatic College-wide collective decisions that include consistent, accountable leadership and oversight of each academic program with designated “owners,” active advisory committees, clear student learning outcomes and assessments, and program reviews in all modalities of</w:t>
      </w:r>
      <w:r>
        <w:rPr>
          <w:spacing w:val="-35"/>
          <w:sz w:val="22"/>
        </w:rPr>
        <w:t> </w:t>
      </w:r>
      <w:r>
        <w:rPr>
          <w:sz w:val="22"/>
        </w:rPr>
        <w:t>instruction</w:t>
      </w:r>
    </w:p>
    <w:p>
      <w:pPr>
        <w:pStyle w:val="ListParagraph"/>
        <w:numPr>
          <w:ilvl w:val="0"/>
          <w:numId w:val="2"/>
        </w:numPr>
        <w:tabs>
          <w:tab w:pos="604" w:val="left" w:leader="none"/>
          <w:tab w:pos="605" w:val="left" w:leader="none"/>
        </w:tabs>
        <w:spacing w:line="240" w:lineRule="auto" w:before="37" w:after="0"/>
        <w:ind w:left="604" w:right="1247" w:hanging="360"/>
        <w:jc w:val="left"/>
        <w:rPr>
          <w:sz w:val="22"/>
        </w:rPr>
      </w:pPr>
      <w:r>
        <w:rPr>
          <w:b/>
          <w:sz w:val="22"/>
        </w:rPr>
        <w:t>Objective 5: </w:t>
      </w:r>
      <w:r>
        <w:rPr>
          <w:sz w:val="22"/>
        </w:rPr>
        <w:t>Align NOVA’s organizational structures, position descriptions, and expectations for accountability with its overarching mission to support student engagement, learning, success and institutional</w:t>
      </w:r>
      <w:r>
        <w:rPr>
          <w:spacing w:val="-5"/>
          <w:sz w:val="22"/>
        </w:rPr>
        <w:t> </w:t>
      </w:r>
      <w:r>
        <w:rPr>
          <w:sz w:val="22"/>
        </w:rPr>
        <w:t>effectiveness</w:t>
      </w:r>
    </w:p>
    <w:p>
      <w:pPr>
        <w:pStyle w:val="BodyText"/>
        <w:spacing w:before="3"/>
      </w:pPr>
    </w:p>
    <w:p>
      <w:pPr>
        <w:pStyle w:val="BodyText"/>
        <w:spacing w:line="308" w:lineRule="exact" w:before="1"/>
        <w:ind w:left="100"/>
        <w:rPr>
          <w:rFonts w:ascii="Arial Black"/>
        </w:rPr>
      </w:pPr>
      <w:r>
        <w:rPr>
          <w:rFonts w:ascii="Arial Black"/>
        </w:rPr>
        <w:t>GOAL 3: Every Community Prospers</w:t>
      </w:r>
    </w:p>
    <w:p>
      <w:pPr>
        <w:pStyle w:val="ListParagraph"/>
        <w:numPr>
          <w:ilvl w:val="0"/>
          <w:numId w:val="2"/>
        </w:numPr>
        <w:tabs>
          <w:tab w:pos="604" w:val="left" w:leader="none"/>
          <w:tab w:pos="605" w:val="left" w:leader="none"/>
        </w:tabs>
        <w:spacing w:line="240" w:lineRule="auto" w:before="0" w:after="0"/>
        <w:ind w:left="604" w:right="99" w:hanging="360"/>
        <w:jc w:val="left"/>
        <w:rPr>
          <w:sz w:val="22"/>
        </w:rPr>
      </w:pPr>
      <w:r>
        <w:rPr>
          <w:b/>
          <w:sz w:val="22"/>
        </w:rPr>
        <w:t>Objective 6: </w:t>
      </w:r>
      <w:r>
        <w:rPr>
          <w:sz w:val="22"/>
        </w:rPr>
        <w:t>Enhance the prosperity of every community in Northern Virginia by refocusing and prioritizing NOVA’s workforce development</w:t>
      </w:r>
      <w:r>
        <w:rPr>
          <w:spacing w:val="-4"/>
          <w:sz w:val="22"/>
        </w:rPr>
        <w:t> </w:t>
      </w:r>
      <w:r>
        <w:rPr>
          <w:sz w:val="22"/>
        </w:rPr>
        <w:t>efforts</w:t>
      </w:r>
    </w:p>
    <w:p>
      <w:pPr>
        <w:pStyle w:val="ListParagraph"/>
        <w:numPr>
          <w:ilvl w:val="0"/>
          <w:numId w:val="2"/>
        </w:numPr>
        <w:tabs>
          <w:tab w:pos="605" w:val="left" w:leader="none"/>
          <w:tab w:pos="606" w:val="left" w:leader="none"/>
        </w:tabs>
        <w:spacing w:line="240" w:lineRule="auto" w:before="34" w:after="0"/>
        <w:ind w:left="605" w:right="294" w:hanging="360"/>
        <w:jc w:val="left"/>
        <w:rPr>
          <w:sz w:val="22"/>
        </w:rPr>
      </w:pPr>
      <w:r>
        <w:rPr>
          <w:b/>
          <w:sz w:val="22"/>
        </w:rPr>
        <w:t>Objective 7: </w:t>
      </w:r>
      <w:r>
        <w:rPr>
          <w:sz w:val="22"/>
        </w:rPr>
        <w:t>Further develop NOVA’s IT and Cybersecurity programs to support regional job demand and position NOVA as the leading IT community college in the</w:t>
      </w:r>
      <w:r>
        <w:rPr>
          <w:spacing w:val="-26"/>
          <w:sz w:val="22"/>
        </w:rPr>
        <w:t> </w:t>
      </w:r>
      <w:r>
        <w:rPr>
          <w:sz w:val="22"/>
        </w:rPr>
        <w:t>nation</w:t>
      </w:r>
    </w:p>
    <w:p>
      <w:pPr>
        <w:pStyle w:val="ListParagraph"/>
        <w:numPr>
          <w:ilvl w:val="0"/>
          <w:numId w:val="2"/>
        </w:numPr>
        <w:tabs>
          <w:tab w:pos="605" w:val="left" w:leader="none"/>
          <w:tab w:pos="606" w:val="left" w:leader="none"/>
        </w:tabs>
        <w:spacing w:line="240" w:lineRule="auto" w:before="39" w:after="0"/>
        <w:ind w:left="605" w:right="172" w:hanging="360"/>
        <w:jc w:val="left"/>
        <w:rPr>
          <w:sz w:val="22"/>
        </w:rPr>
      </w:pPr>
      <w:r>
        <w:rPr>
          <w:b/>
          <w:sz w:val="22"/>
        </w:rPr>
        <w:t>Objective 8: </w:t>
      </w:r>
      <w:r>
        <w:rPr>
          <w:sz w:val="22"/>
        </w:rPr>
        <w:t>Re-envision workforce strategies and integrate workforce development into a NOVA core</w:t>
      </w:r>
      <w:r>
        <w:rPr>
          <w:spacing w:val="-4"/>
          <w:sz w:val="22"/>
        </w:rPr>
        <w:t> </w:t>
      </w:r>
      <w:r>
        <w:rPr>
          <w:sz w:val="22"/>
        </w:rPr>
        <w:t>focus</w:t>
      </w:r>
    </w:p>
    <w:p>
      <w:pPr>
        <w:pStyle w:val="ListParagraph"/>
        <w:numPr>
          <w:ilvl w:val="0"/>
          <w:numId w:val="2"/>
        </w:numPr>
        <w:tabs>
          <w:tab w:pos="605" w:val="left" w:leader="none"/>
          <w:tab w:pos="606" w:val="left" w:leader="none"/>
        </w:tabs>
        <w:spacing w:line="240" w:lineRule="auto" w:before="37" w:after="0"/>
        <w:ind w:left="605" w:right="722" w:hanging="360"/>
        <w:jc w:val="left"/>
        <w:rPr>
          <w:sz w:val="22"/>
        </w:rPr>
      </w:pPr>
      <w:r>
        <w:rPr>
          <w:b/>
          <w:sz w:val="22"/>
        </w:rPr>
        <w:t>Objective 9: </w:t>
      </w:r>
      <w:r>
        <w:rPr>
          <w:sz w:val="22"/>
        </w:rPr>
        <w:t>Plan to expand the breadth and reach of NOVA’s healthcare and biotechnology programs, and prioritize future programs to support regional economic development</w:t>
      </w:r>
      <w:r>
        <w:rPr>
          <w:spacing w:val="-2"/>
          <w:sz w:val="22"/>
        </w:rPr>
        <w:t> </w:t>
      </w:r>
      <w:r>
        <w:rPr>
          <w:sz w:val="22"/>
        </w:rPr>
        <w:t>goals</w:t>
      </w:r>
    </w:p>
    <w:sectPr>
      <w:pgSz w:w="12240" w:h="15840"/>
      <w:pgMar w:header="0" w:footer="1037" w:top="1360" w:bottom="12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Symbol">
    <w:altName w:val="Symbol"/>
    <w:charset w:val="2"/>
    <w:family w:val="roman"/>
    <w:pitch w:val="variable"/>
  </w:font>
  <w:font w:name="Wingdings">
    <w:altName w:val="Wingdings"/>
    <w:charset w:val="2"/>
    <w:family w:val="auto"/>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890564pt;margin-top:729.16626pt;width:10.15pt;height:14.35pt;mso-position-horizontal-relative:page;mso-position-vertical-relative:page;z-index:-11704" type="#_x0000_t202" filled="false" stroked="false">
          <v:textbox inset="0,0,0,0">
            <w:txbxContent>
              <w:p>
                <w:pPr>
                  <w:pStyle w:val="BodyText"/>
                  <w:spacing w:before="13"/>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04" w:hanging="361"/>
      </w:pPr>
      <w:rPr>
        <w:rFonts w:hint="default" w:ascii="Symbol" w:hAnsi="Symbol" w:eastAsia="Symbol" w:cs="Symbol"/>
        <w:w w:val="100"/>
        <w:sz w:val="22"/>
        <w:szCs w:val="22"/>
        <w:lang w:val="en-us" w:eastAsia="en-us" w:bidi="en-us"/>
      </w:rPr>
    </w:lvl>
    <w:lvl w:ilvl="1">
      <w:start w:val="0"/>
      <w:numFmt w:val="bullet"/>
      <w:lvlText w:val="•"/>
      <w:lvlJc w:val="left"/>
      <w:pPr>
        <w:ind w:left="1496" w:hanging="361"/>
      </w:pPr>
      <w:rPr>
        <w:rFonts w:hint="default"/>
        <w:lang w:val="en-us" w:eastAsia="en-us" w:bidi="en-us"/>
      </w:rPr>
    </w:lvl>
    <w:lvl w:ilvl="2">
      <w:start w:val="0"/>
      <w:numFmt w:val="bullet"/>
      <w:lvlText w:val="•"/>
      <w:lvlJc w:val="left"/>
      <w:pPr>
        <w:ind w:left="2392" w:hanging="361"/>
      </w:pPr>
      <w:rPr>
        <w:rFonts w:hint="default"/>
        <w:lang w:val="en-us" w:eastAsia="en-us" w:bidi="en-us"/>
      </w:rPr>
    </w:lvl>
    <w:lvl w:ilvl="3">
      <w:start w:val="0"/>
      <w:numFmt w:val="bullet"/>
      <w:lvlText w:val="•"/>
      <w:lvlJc w:val="left"/>
      <w:pPr>
        <w:ind w:left="3288" w:hanging="361"/>
      </w:pPr>
      <w:rPr>
        <w:rFonts w:hint="default"/>
        <w:lang w:val="en-us" w:eastAsia="en-us" w:bidi="en-us"/>
      </w:rPr>
    </w:lvl>
    <w:lvl w:ilvl="4">
      <w:start w:val="0"/>
      <w:numFmt w:val="bullet"/>
      <w:lvlText w:val="•"/>
      <w:lvlJc w:val="left"/>
      <w:pPr>
        <w:ind w:left="4184" w:hanging="361"/>
      </w:pPr>
      <w:rPr>
        <w:rFonts w:hint="default"/>
        <w:lang w:val="en-us" w:eastAsia="en-us" w:bidi="en-us"/>
      </w:rPr>
    </w:lvl>
    <w:lvl w:ilvl="5">
      <w:start w:val="0"/>
      <w:numFmt w:val="bullet"/>
      <w:lvlText w:val="•"/>
      <w:lvlJc w:val="left"/>
      <w:pPr>
        <w:ind w:left="5080" w:hanging="361"/>
      </w:pPr>
      <w:rPr>
        <w:rFonts w:hint="default"/>
        <w:lang w:val="en-us" w:eastAsia="en-us" w:bidi="en-us"/>
      </w:rPr>
    </w:lvl>
    <w:lvl w:ilvl="6">
      <w:start w:val="0"/>
      <w:numFmt w:val="bullet"/>
      <w:lvlText w:val="•"/>
      <w:lvlJc w:val="left"/>
      <w:pPr>
        <w:ind w:left="5976" w:hanging="361"/>
      </w:pPr>
      <w:rPr>
        <w:rFonts w:hint="default"/>
        <w:lang w:val="en-us" w:eastAsia="en-us" w:bidi="en-us"/>
      </w:rPr>
    </w:lvl>
    <w:lvl w:ilvl="7">
      <w:start w:val="0"/>
      <w:numFmt w:val="bullet"/>
      <w:lvlText w:val="•"/>
      <w:lvlJc w:val="left"/>
      <w:pPr>
        <w:ind w:left="6872" w:hanging="361"/>
      </w:pPr>
      <w:rPr>
        <w:rFonts w:hint="default"/>
        <w:lang w:val="en-us" w:eastAsia="en-us" w:bidi="en-us"/>
      </w:rPr>
    </w:lvl>
    <w:lvl w:ilvl="8">
      <w:start w:val="0"/>
      <w:numFmt w:val="bullet"/>
      <w:lvlText w:val="•"/>
      <w:lvlJc w:val="left"/>
      <w:pPr>
        <w:ind w:left="7768" w:hanging="361"/>
      </w:pPr>
      <w:rPr>
        <w:rFonts w:hint="default"/>
        <w:lang w:val="en-us" w:eastAsia="en-us" w:bidi="en-us"/>
      </w:rPr>
    </w:lvl>
  </w:abstractNum>
  <w:abstractNum w:abstractNumId="0">
    <w:multiLevelType w:val="hybridMultilevel"/>
    <w:lvl w:ilvl="0">
      <w:start w:val="0"/>
      <w:numFmt w:val="bullet"/>
      <w:lvlText w:val=""/>
      <w:lvlJc w:val="left"/>
      <w:pPr>
        <w:ind w:left="820" w:hanging="361"/>
      </w:pPr>
      <w:rPr>
        <w:rFonts w:hint="default" w:ascii="Symbol" w:hAnsi="Symbol" w:eastAsia="Symbol" w:cs="Symbol"/>
        <w:w w:val="100"/>
        <w:sz w:val="22"/>
        <w:szCs w:val="22"/>
        <w:lang w:val="en-us" w:eastAsia="en-us" w:bidi="en-us"/>
      </w:rPr>
    </w:lvl>
    <w:lvl w:ilvl="1">
      <w:start w:val="0"/>
      <w:numFmt w:val="bullet"/>
      <w:lvlText w:val="o"/>
      <w:lvlJc w:val="left"/>
      <w:pPr>
        <w:ind w:left="1540" w:hanging="361"/>
      </w:pPr>
      <w:rPr>
        <w:rFonts w:hint="default" w:ascii="Courier New" w:hAnsi="Courier New" w:eastAsia="Courier New" w:cs="Courier New"/>
        <w:w w:val="100"/>
        <w:sz w:val="22"/>
        <w:szCs w:val="22"/>
        <w:lang w:val="en-us" w:eastAsia="en-us" w:bidi="en-us"/>
      </w:rPr>
    </w:lvl>
    <w:lvl w:ilvl="2">
      <w:start w:val="0"/>
      <w:numFmt w:val="bullet"/>
      <w:lvlText w:val="•"/>
      <w:lvlJc w:val="left"/>
      <w:pPr>
        <w:ind w:left="2431" w:hanging="361"/>
      </w:pPr>
      <w:rPr>
        <w:rFonts w:hint="default"/>
        <w:lang w:val="en-us" w:eastAsia="en-us" w:bidi="en-us"/>
      </w:rPr>
    </w:lvl>
    <w:lvl w:ilvl="3">
      <w:start w:val="0"/>
      <w:numFmt w:val="bullet"/>
      <w:lvlText w:val="•"/>
      <w:lvlJc w:val="left"/>
      <w:pPr>
        <w:ind w:left="3322" w:hanging="361"/>
      </w:pPr>
      <w:rPr>
        <w:rFonts w:hint="default"/>
        <w:lang w:val="en-us" w:eastAsia="en-us" w:bidi="en-us"/>
      </w:rPr>
    </w:lvl>
    <w:lvl w:ilvl="4">
      <w:start w:val="0"/>
      <w:numFmt w:val="bullet"/>
      <w:lvlText w:val="•"/>
      <w:lvlJc w:val="left"/>
      <w:pPr>
        <w:ind w:left="4213" w:hanging="361"/>
      </w:pPr>
      <w:rPr>
        <w:rFonts w:hint="default"/>
        <w:lang w:val="en-us" w:eastAsia="en-us" w:bidi="en-us"/>
      </w:rPr>
    </w:lvl>
    <w:lvl w:ilvl="5">
      <w:start w:val="0"/>
      <w:numFmt w:val="bullet"/>
      <w:lvlText w:val="•"/>
      <w:lvlJc w:val="left"/>
      <w:pPr>
        <w:ind w:left="5104" w:hanging="361"/>
      </w:pPr>
      <w:rPr>
        <w:rFonts w:hint="default"/>
        <w:lang w:val="en-us" w:eastAsia="en-us" w:bidi="en-us"/>
      </w:rPr>
    </w:lvl>
    <w:lvl w:ilvl="6">
      <w:start w:val="0"/>
      <w:numFmt w:val="bullet"/>
      <w:lvlText w:val="•"/>
      <w:lvlJc w:val="left"/>
      <w:pPr>
        <w:ind w:left="5995" w:hanging="361"/>
      </w:pPr>
      <w:rPr>
        <w:rFonts w:hint="default"/>
        <w:lang w:val="en-us" w:eastAsia="en-us" w:bidi="en-us"/>
      </w:rPr>
    </w:lvl>
    <w:lvl w:ilvl="7">
      <w:start w:val="0"/>
      <w:numFmt w:val="bullet"/>
      <w:lvlText w:val="•"/>
      <w:lvlJc w:val="left"/>
      <w:pPr>
        <w:ind w:left="6886" w:hanging="361"/>
      </w:pPr>
      <w:rPr>
        <w:rFonts w:hint="default"/>
        <w:lang w:val="en-us" w:eastAsia="en-us" w:bidi="en-us"/>
      </w:rPr>
    </w:lvl>
    <w:lvl w:ilvl="8">
      <w:start w:val="0"/>
      <w:numFmt w:val="bullet"/>
      <w:lvlText w:val="•"/>
      <w:lvlJc w:val="left"/>
      <w:pPr>
        <w:ind w:left="7777"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604"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Bharucha, Diana C.</dc:creator>
  <dcterms:created xsi:type="dcterms:W3CDTF">2020-03-16T20:38:20Z</dcterms:created>
  <dcterms:modified xsi:type="dcterms:W3CDTF">2020-03-16T20:38:20Z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Acrobat PDFMaker 19 for Word</vt:lpwstr>
  </property>
  <property fmtid="{D5CDD505-2E9C-101B-9397-08002B2CF9AE}" pid="4" name="LastSaved">
    <vt:filetime>2020-03-16T00:00:00Z</vt:filetime>
  </property>
</Properties>
</file>